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BAF4" w14:textId="77777777"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12E59B7E" wp14:editId="0D8AECDF">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68D9064B" w14:textId="77777777" w:rsidR="00B551F7" w:rsidRDefault="00B551F7" w:rsidP="00BD5129">
      <w:pPr>
        <w:jc w:val="center"/>
        <w:rPr>
          <w:b/>
          <w:sz w:val="28"/>
        </w:rPr>
      </w:pPr>
      <w:r>
        <w:rPr>
          <w:b/>
          <w:sz w:val="28"/>
        </w:rPr>
        <w:t>CODE/MOE/UOIT Makerspaces Project</w:t>
      </w:r>
    </w:p>
    <w:p w14:paraId="33539703" w14:textId="51BB65E9" w:rsidR="002D746E" w:rsidRDefault="002D746E" w:rsidP="00BD5129">
      <w:pPr>
        <w:jc w:val="center"/>
        <w:rPr>
          <w:b/>
          <w:sz w:val="28"/>
        </w:rPr>
      </w:pPr>
      <w:r>
        <w:rPr>
          <w:b/>
          <w:sz w:val="28"/>
        </w:rPr>
        <w:t xml:space="preserve">Lesson Plan:  Grade 4 Social Studies:  </w:t>
      </w:r>
    </w:p>
    <w:p w14:paraId="68D35B69" w14:textId="28D5187F" w:rsidR="00B15796" w:rsidRPr="00BD5129" w:rsidRDefault="0022067D" w:rsidP="00BD5129">
      <w:pPr>
        <w:jc w:val="center"/>
        <w:rPr>
          <w:b/>
          <w:sz w:val="28"/>
        </w:rPr>
      </w:pPr>
      <w:r>
        <w:rPr>
          <w:b/>
          <w:sz w:val="28"/>
        </w:rPr>
        <w:t>Canada’s Political Regions String Art Activity</w:t>
      </w:r>
    </w:p>
    <w:tbl>
      <w:tblPr>
        <w:tblStyle w:val="TableGrid"/>
        <w:tblW w:w="0" w:type="auto"/>
        <w:tblLook w:val="04A0" w:firstRow="1" w:lastRow="0" w:firstColumn="1" w:lastColumn="0" w:noHBand="0" w:noVBand="1"/>
      </w:tblPr>
      <w:tblGrid>
        <w:gridCol w:w="5230"/>
        <w:gridCol w:w="4346"/>
      </w:tblGrid>
      <w:tr w:rsidR="00B551F7" w14:paraId="68F933B1" w14:textId="77777777" w:rsidTr="00C106C3">
        <w:tc>
          <w:tcPr>
            <w:tcW w:w="9350" w:type="dxa"/>
            <w:gridSpan w:val="2"/>
            <w:shd w:val="clear" w:color="auto" w:fill="DEEAF6" w:themeFill="accent1" w:themeFillTint="33"/>
          </w:tcPr>
          <w:p w14:paraId="0F66C821" w14:textId="77777777" w:rsidR="00B551F7" w:rsidRPr="002D746E" w:rsidRDefault="00B551F7">
            <w:pPr>
              <w:rPr>
                <w:b/>
              </w:rPr>
            </w:pPr>
            <w:r w:rsidRPr="002D746E">
              <w:rPr>
                <w:b/>
              </w:rPr>
              <w:t>BIG IDEAS:</w:t>
            </w:r>
          </w:p>
          <w:p w14:paraId="75184C90" w14:textId="77777777" w:rsidR="0022067D" w:rsidRPr="002D746E" w:rsidRDefault="0022067D" w:rsidP="0022067D">
            <w:pPr>
              <w:pStyle w:val="Pa28"/>
              <w:spacing w:after="140"/>
              <w:rPr>
                <w:rFonts w:asciiTheme="minorHAnsi" w:hAnsiTheme="minorHAnsi" w:cs="MyriaMM"/>
                <w:color w:val="221E1F"/>
                <w:sz w:val="22"/>
                <w:szCs w:val="22"/>
              </w:rPr>
            </w:pPr>
            <w:r w:rsidRPr="002D746E">
              <w:rPr>
                <w:rFonts w:asciiTheme="minorHAnsi" w:hAnsiTheme="minorHAnsi" w:cs="MyriaMM"/>
                <w:color w:val="221E1F"/>
                <w:sz w:val="22"/>
                <w:szCs w:val="22"/>
              </w:rPr>
              <w:t>A region shares a similar set of characteristics.</w:t>
            </w:r>
          </w:p>
          <w:p w14:paraId="403E2174" w14:textId="77777777" w:rsidR="00B551F7" w:rsidRPr="002D746E" w:rsidRDefault="00B551F7">
            <w:pPr>
              <w:rPr>
                <w:b/>
              </w:rPr>
            </w:pPr>
          </w:p>
          <w:p w14:paraId="2A9643C5" w14:textId="77777777" w:rsidR="00B551F7" w:rsidRPr="002D746E" w:rsidRDefault="00924DEE">
            <w:pPr>
              <w:rPr>
                <w:b/>
              </w:rPr>
            </w:pPr>
            <w:r w:rsidRPr="002D746E">
              <w:rPr>
                <w:b/>
              </w:rPr>
              <w:t xml:space="preserve">Social Studies Specific </w:t>
            </w:r>
            <w:r w:rsidR="00B551F7" w:rsidRPr="002D746E">
              <w:rPr>
                <w:b/>
              </w:rPr>
              <w:t>Curriculum Expectations:</w:t>
            </w:r>
          </w:p>
          <w:p w14:paraId="61B2B43B" w14:textId="77777777" w:rsidR="007F0672" w:rsidRPr="002D746E" w:rsidRDefault="007F0672" w:rsidP="007F0672">
            <w:pPr>
              <w:pStyle w:val="Pa28"/>
              <w:spacing w:after="140"/>
              <w:rPr>
                <w:rFonts w:asciiTheme="minorHAnsi" w:hAnsiTheme="minorHAnsi" w:cs="MyriaMM"/>
                <w:color w:val="221E1F"/>
                <w:sz w:val="22"/>
                <w:szCs w:val="22"/>
              </w:rPr>
            </w:pPr>
            <w:r w:rsidRPr="002D746E">
              <w:rPr>
                <w:rFonts w:asciiTheme="minorHAnsi" w:hAnsiTheme="minorHAnsi"/>
                <w:color w:val="00863E"/>
                <w:sz w:val="22"/>
                <w:szCs w:val="22"/>
              </w:rPr>
              <w:t xml:space="preserve">B2.3 </w:t>
            </w:r>
            <w:r w:rsidRPr="002D746E">
              <w:rPr>
                <w:rFonts w:asciiTheme="minorHAnsi" w:hAnsiTheme="minorHAnsi" w:cs="Palatino"/>
                <w:color w:val="221E1F"/>
                <w:sz w:val="22"/>
                <w:szCs w:val="22"/>
              </w:rPr>
              <w:t>analyse and construct print and/or digital maps, including thematic maps</w:t>
            </w:r>
          </w:p>
          <w:p w14:paraId="1FB92935" w14:textId="77777777" w:rsidR="007F0672" w:rsidRPr="002D746E" w:rsidRDefault="007F0672" w:rsidP="007F0672">
            <w:pPr>
              <w:pStyle w:val="Pa28"/>
              <w:spacing w:after="140"/>
              <w:rPr>
                <w:rFonts w:asciiTheme="minorHAnsi" w:hAnsiTheme="minorHAnsi" w:cs="MyriaMM"/>
                <w:color w:val="221E1F"/>
                <w:sz w:val="22"/>
                <w:szCs w:val="22"/>
              </w:rPr>
            </w:pPr>
            <w:r w:rsidRPr="002D746E">
              <w:rPr>
                <w:rFonts w:asciiTheme="minorHAnsi" w:hAnsiTheme="minorHAnsi" w:cs="MyriaMM"/>
                <w:color w:val="221E1F"/>
                <w:sz w:val="22"/>
                <w:szCs w:val="22"/>
              </w:rPr>
              <w:t>Analysing and constructing thematic maps (e</w:t>
            </w:r>
            <w:r w:rsidRPr="002D746E">
              <w:rPr>
                <w:rFonts w:asciiTheme="minorHAnsi" w:hAnsiTheme="minorHAnsi" w:cs="MyriaMM"/>
                <w:color w:val="000000"/>
                <w:sz w:val="22"/>
                <w:szCs w:val="22"/>
              </w:rPr>
              <w:t>.</w:t>
            </w:r>
            <w:r w:rsidRPr="002D746E">
              <w:rPr>
                <w:rFonts w:asciiTheme="minorHAnsi" w:hAnsiTheme="minorHAnsi" w:cs="MyriaMM"/>
                <w:color w:val="221E1F"/>
                <w:sz w:val="22"/>
                <w:szCs w:val="22"/>
              </w:rPr>
              <w:t>g</w:t>
            </w:r>
            <w:r w:rsidRPr="002D746E">
              <w:rPr>
                <w:rFonts w:asciiTheme="minorHAnsi" w:hAnsiTheme="minorHAnsi" w:cs="MyriaMM"/>
                <w:color w:val="000000"/>
                <w:sz w:val="22"/>
                <w:szCs w:val="22"/>
              </w:rPr>
              <w:t>.</w:t>
            </w:r>
            <w:r w:rsidRPr="002D746E">
              <w:rPr>
                <w:rFonts w:asciiTheme="minorHAnsi" w:hAnsiTheme="minorHAnsi" w:cs="MyriaMM"/>
                <w:color w:val="221E1F"/>
                <w:sz w:val="22"/>
                <w:szCs w:val="22"/>
              </w:rPr>
              <w:t>, maps using shading or symbols to represent regions or land use) for specific purposes (see, e</w:t>
            </w:r>
            <w:r w:rsidRPr="002D746E">
              <w:rPr>
                <w:rFonts w:asciiTheme="minorHAnsi" w:hAnsiTheme="minorHAnsi" w:cs="MyriaMM"/>
                <w:color w:val="000000"/>
                <w:sz w:val="22"/>
                <w:szCs w:val="22"/>
              </w:rPr>
              <w:t>.</w:t>
            </w:r>
            <w:r w:rsidRPr="002D746E">
              <w:rPr>
                <w:rFonts w:asciiTheme="minorHAnsi" w:hAnsiTheme="minorHAnsi" w:cs="MyriaMM"/>
                <w:color w:val="221E1F"/>
                <w:sz w:val="22"/>
                <w:szCs w:val="22"/>
              </w:rPr>
              <w:t>g</w:t>
            </w:r>
            <w:r w:rsidRPr="002D746E">
              <w:rPr>
                <w:rFonts w:asciiTheme="minorHAnsi" w:hAnsiTheme="minorHAnsi" w:cs="MyriaMM"/>
                <w:color w:val="000000"/>
                <w:sz w:val="22"/>
                <w:szCs w:val="22"/>
              </w:rPr>
              <w:t>.</w:t>
            </w:r>
            <w:r w:rsidRPr="002D746E">
              <w:rPr>
                <w:rFonts w:asciiTheme="minorHAnsi" w:hAnsiTheme="minorHAnsi" w:cs="MyriaMM"/>
                <w:color w:val="221E1F"/>
                <w:sz w:val="22"/>
                <w:szCs w:val="22"/>
              </w:rPr>
              <w:t>, B2</w:t>
            </w:r>
            <w:r w:rsidRPr="002D746E">
              <w:rPr>
                <w:rFonts w:asciiTheme="minorHAnsi" w:hAnsiTheme="minorHAnsi" w:cs="MyriaMM"/>
                <w:color w:val="000000"/>
                <w:sz w:val="22"/>
                <w:szCs w:val="22"/>
              </w:rPr>
              <w:t>.</w:t>
            </w:r>
            <w:r w:rsidRPr="002D746E">
              <w:rPr>
                <w:rFonts w:asciiTheme="minorHAnsi" w:hAnsiTheme="minorHAnsi" w:cs="MyriaMM"/>
                <w:color w:val="221E1F"/>
                <w:sz w:val="22"/>
                <w:szCs w:val="22"/>
              </w:rPr>
              <w:t xml:space="preserve">3) </w:t>
            </w:r>
          </w:p>
          <w:p w14:paraId="1D6E8DB4" w14:textId="77777777" w:rsidR="007F0672" w:rsidRPr="002D746E" w:rsidRDefault="007F0672" w:rsidP="007F0672">
            <w:pPr>
              <w:pStyle w:val="Default"/>
              <w:rPr>
                <w:rFonts w:asciiTheme="minorHAnsi" w:hAnsiTheme="minorHAnsi"/>
                <w:sz w:val="22"/>
                <w:szCs w:val="22"/>
                <w:lang w:val="en-US"/>
              </w:rPr>
            </w:pPr>
            <w:r w:rsidRPr="002D746E">
              <w:rPr>
                <w:rFonts w:asciiTheme="minorHAnsi" w:hAnsiTheme="minorHAnsi"/>
                <w:color w:val="00863E"/>
                <w:sz w:val="22"/>
                <w:szCs w:val="22"/>
              </w:rPr>
              <w:t xml:space="preserve">B3.4 </w:t>
            </w:r>
            <w:r w:rsidRPr="002D746E">
              <w:rPr>
                <w:rFonts w:asciiTheme="minorHAnsi" w:hAnsiTheme="minorHAnsi" w:cs="Palatino"/>
                <w:color w:val="221E1F"/>
                <w:sz w:val="22"/>
                <w:szCs w:val="22"/>
              </w:rPr>
              <w:t>identify various types of political regions in Canada</w:t>
            </w:r>
          </w:p>
          <w:p w14:paraId="353EF5C1" w14:textId="77777777" w:rsidR="00B551F7" w:rsidRPr="002D746E" w:rsidRDefault="007F0672">
            <w:pPr>
              <w:rPr>
                <w:rFonts w:cs="Palatino"/>
                <w:color w:val="221E1F"/>
              </w:rPr>
            </w:pPr>
            <w:r w:rsidRPr="002D746E">
              <w:rPr>
                <w:color w:val="00863E"/>
              </w:rPr>
              <w:t xml:space="preserve">B3.5 </w:t>
            </w:r>
            <w:r w:rsidRPr="002D746E">
              <w:rPr>
                <w:rFonts w:cs="Palatino"/>
                <w:color w:val="221E1F"/>
              </w:rPr>
              <w:t>identify Canada’s provinces and territories and their capital cities, and describe them with reference to their location and some of the peoples who live in them</w:t>
            </w:r>
          </w:p>
          <w:p w14:paraId="4B66ABE7" w14:textId="77777777" w:rsidR="007F0672" w:rsidRPr="002D746E" w:rsidRDefault="007F0672">
            <w:pPr>
              <w:rPr>
                <w:rFonts w:cs="Palatino"/>
                <w:color w:val="221E1F"/>
              </w:rPr>
            </w:pPr>
          </w:p>
          <w:p w14:paraId="5F1CA52A" w14:textId="77777777" w:rsidR="00B551F7" w:rsidRPr="002D746E" w:rsidRDefault="00B551F7">
            <w:pPr>
              <w:rPr>
                <w:b/>
              </w:rPr>
            </w:pPr>
          </w:p>
        </w:tc>
      </w:tr>
      <w:tr w:rsidR="007E18E8" w14:paraId="2B8320AA" w14:textId="77777777" w:rsidTr="00C106C3">
        <w:tc>
          <w:tcPr>
            <w:tcW w:w="4675" w:type="dxa"/>
            <w:shd w:val="clear" w:color="auto" w:fill="DEEAF6" w:themeFill="accent1" w:themeFillTint="33"/>
          </w:tcPr>
          <w:p w14:paraId="3B40FBAC" w14:textId="77777777" w:rsidR="00BD5129" w:rsidRPr="001520BD" w:rsidRDefault="00BD5129">
            <w:pPr>
              <w:rPr>
                <w:b/>
              </w:rPr>
            </w:pPr>
            <w:r w:rsidRPr="001520BD">
              <w:rPr>
                <w:b/>
              </w:rPr>
              <w:t>Learning Goals:</w:t>
            </w:r>
          </w:p>
          <w:p w14:paraId="4703BE51" w14:textId="77777777" w:rsidR="00BD5129" w:rsidRDefault="00BD5129">
            <w:r w:rsidRPr="001520BD">
              <w:t>“We are learning to…”</w:t>
            </w:r>
          </w:p>
          <w:p w14:paraId="75A8F22E" w14:textId="1A37FB2A" w:rsidR="004E794B" w:rsidRPr="001520BD" w:rsidRDefault="00883FF5">
            <w:r>
              <w:t>Identify Canada’s political regions and create an outline map of that region using string art</w:t>
            </w:r>
            <w:r w:rsidR="002D746E">
              <w:t>.</w:t>
            </w:r>
          </w:p>
          <w:p w14:paraId="6D5FB6DC" w14:textId="77777777" w:rsidR="004E794B" w:rsidRPr="001520BD" w:rsidRDefault="004E794B">
            <w:pPr>
              <w:rPr>
                <w:b/>
              </w:rPr>
            </w:pPr>
          </w:p>
          <w:p w14:paraId="0F7038BD" w14:textId="77777777" w:rsidR="004E794B" w:rsidRPr="001520BD" w:rsidRDefault="004E794B">
            <w:pPr>
              <w:rPr>
                <w:b/>
              </w:rPr>
            </w:pPr>
          </w:p>
        </w:tc>
        <w:tc>
          <w:tcPr>
            <w:tcW w:w="4675" w:type="dxa"/>
            <w:shd w:val="clear" w:color="auto" w:fill="DEEAF6" w:themeFill="accent1" w:themeFillTint="33"/>
          </w:tcPr>
          <w:p w14:paraId="5F3D5E95" w14:textId="77777777" w:rsidR="007E18E8" w:rsidRPr="001520BD" w:rsidRDefault="00BD5129">
            <w:pPr>
              <w:rPr>
                <w:b/>
              </w:rPr>
            </w:pPr>
            <w:r w:rsidRPr="001520BD">
              <w:rPr>
                <w:b/>
              </w:rPr>
              <w:t xml:space="preserve">Success Criteria:  </w:t>
            </w:r>
          </w:p>
          <w:p w14:paraId="5062759C" w14:textId="77777777" w:rsidR="00BD5129" w:rsidRPr="001520BD" w:rsidRDefault="00BD5129">
            <w:r w:rsidRPr="001520BD">
              <w:t>“</w:t>
            </w:r>
            <w:r w:rsidR="00B551F7" w:rsidRPr="001520BD">
              <w:t>We</w:t>
            </w:r>
            <w:r w:rsidRPr="001520BD">
              <w:t xml:space="preserve"> will be successful when…”</w:t>
            </w:r>
          </w:p>
          <w:p w14:paraId="6C46C8B2" w14:textId="3385ADCB" w:rsidR="00BD5129" w:rsidRPr="002D746E" w:rsidRDefault="00883FF5">
            <w:r w:rsidRPr="002D746E">
              <w:t xml:space="preserve">I can recognize </w:t>
            </w:r>
            <w:r w:rsidR="00BC6DC5" w:rsidRPr="002D746E">
              <w:t>the outline</w:t>
            </w:r>
            <w:r w:rsidRPr="002D746E">
              <w:t xml:space="preserve"> </w:t>
            </w:r>
            <w:r w:rsidR="002D746E">
              <w:t xml:space="preserve">of </w:t>
            </w:r>
            <w:r w:rsidRPr="002D746E">
              <w:t>a variety of provinces on a map.</w:t>
            </w:r>
          </w:p>
          <w:p w14:paraId="57F34AA2" w14:textId="77777777" w:rsidR="00BD5129" w:rsidRPr="001520BD" w:rsidRDefault="00BD5129">
            <w:pPr>
              <w:rPr>
                <w:b/>
              </w:rPr>
            </w:pPr>
          </w:p>
        </w:tc>
      </w:tr>
      <w:tr w:rsidR="00BD5129" w:rsidRPr="004E794B" w14:paraId="40B5F972" w14:textId="77777777" w:rsidTr="00C106C3">
        <w:tc>
          <w:tcPr>
            <w:tcW w:w="9350" w:type="dxa"/>
            <w:gridSpan w:val="2"/>
            <w:shd w:val="clear" w:color="auto" w:fill="DEEAF6" w:themeFill="accent1" w:themeFillTint="33"/>
          </w:tcPr>
          <w:p w14:paraId="6088DE3E" w14:textId="77777777" w:rsidR="00BD5129" w:rsidRPr="001520BD" w:rsidRDefault="00B551F7" w:rsidP="004E794B">
            <w:pPr>
              <w:rPr>
                <w:b/>
              </w:rPr>
            </w:pPr>
            <w:r w:rsidRPr="001520BD">
              <w:rPr>
                <w:b/>
              </w:rPr>
              <w:t>Lesson Overview:</w:t>
            </w:r>
          </w:p>
          <w:p w14:paraId="7DC2CB1C" w14:textId="77777777" w:rsidR="00B551F7" w:rsidRPr="001520BD" w:rsidRDefault="00BC6DC5" w:rsidP="004E794B">
            <w:pPr>
              <w:rPr>
                <w:b/>
              </w:rPr>
            </w:pPr>
            <w:r>
              <w:rPr>
                <w:b/>
              </w:rPr>
              <w:t>Students will select a Canadian province or territory and consult various sources to find out what this region’s political boundaries looks like. They will create a paper sketch/outline of this map and transcribe onto a piece of wood on which they will create a string art example.</w:t>
            </w:r>
          </w:p>
          <w:p w14:paraId="34F6E22A" w14:textId="77777777" w:rsidR="00B551F7" w:rsidRPr="001520BD" w:rsidRDefault="00B551F7" w:rsidP="004E794B"/>
          <w:p w14:paraId="7E4F3BCC" w14:textId="77777777" w:rsidR="004E794B" w:rsidRPr="001520BD" w:rsidRDefault="004E794B" w:rsidP="004E794B"/>
        </w:tc>
      </w:tr>
      <w:tr w:rsidR="00B551F7" w14:paraId="49E5BB1A" w14:textId="77777777" w:rsidTr="00C106C3">
        <w:tc>
          <w:tcPr>
            <w:tcW w:w="9350" w:type="dxa"/>
            <w:gridSpan w:val="2"/>
            <w:shd w:val="clear" w:color="auto" w:fill="DEEAF6" w:themeFill="accent1" w:themeFillTint="33"/>
          </w:tcPr>
          <w:p w14:paraId="202F5977" w14:textId="77777777" w:rsidR="00B551F7" w:rsidRPr="001520BD" w:rsidRDefault="00B551F7">
            <w:pPr>
              <w:rPr>
                <w:b/>
              </w:rPr>
            </w:pPr>
            <w:r w:rsidRPr="001520BD">
              <w:rPr>
                <w:b/>
              </w:rPr>
              <w:t xml:space="preserve">Materials and Technology:  </w:t>
            </w:r>
          </w:p>
          <w:p w14:paraId="5387F5E8" w14:textId="77777777" w:rsidR="00B551F7" w:rsidRPr="001520BD" w:rsidRDefault="00B551F7"/>
          <w:p w14:paraId="21F1B0A8" w14:textId="77777777" w:rsidR="00B551F7" w:rsidRDefault="00BC6DC5">
            <w:r>
              <w:t>Atlases, online atlases, maps</w:t>
            </w:r>
          </w:p>
          <w:p w14:paraId="5012DBAC" w14:textId="77777777" w:rsidR="00BC6DC5" w:rsidRDefault="00BC6DC5">
            <w:r>
              <w:t>Paper</w:t>
            </w:r>
          </w:p>
          <w:p w14:paraId="7E8229A0" w14:textId="77777777" w:rsidR="00BC6DC5" w:rsidRDefault="00BC6DC5">
            <w:r>
              <w:t>Wood (12” by 12”)</w:t>
            </w:r>
          </w:p>
          <w:p w14:paraId="6283DEA7" w14:textId="77777777" w:rsidR="00BC6DC5" w:rsidRDefault="00BC6DC5">
            <w:r>
              <w:t>1 1/2 “ finishing nails (lots)</w:t>
            </w:r>
          </w:p>
          <w:p w14:paraId="78018C80" w14:textId="77777777" w:rsidR="00BC6DC5" w:rsidRDefault="00BC6DC5">
            <w:r>
              <w:t>Hammers</w:t>
            </w:r>
          </w:p>
          <w:p w14:paraId="6E77F08D" w14:textId="77777777" w:rsidR="00BC6DC5" w:rsidRDefault="00BC6DC5">
            <w:r>
              <w:t>Nail holders (to prevent sore fingers for those who wish to use them, bobby pins may work to)</w:t>
            </w:r>
          </w:p>
          <w:p w14:paraId="0A543A5A" w14:textId="77777777" w:rsidR="00BC6DC5" w:rsidRDefault="00BC6DC5">
            <w:r>
              <w:t>String, wool, yarn of various colours</w:t>
            </w:r>
          </w:p>
          <w:p w14:paraId="5C4F3C2D" w14:textId="77777777" w:rsidR="00BC6DC5" w:rsidRPr="001520BD" w:rsidRDefault="003107E3">
            <w:r>
              <w:t>Paint (if wanted to paint wood prior to outlining political boundaries)</w:t>
            </w:r>
          </w:p>
          <w:p w14:paraId="66C46E00" w14:textId="77777777" w:rsidR="00B551F7" w:rsidRDefault="003107E3">
            <w:r>
              <w:t>Smartboard or projector and screen</w:t>
            </w:r>
          </w:p>
          <w:p w14:paraId="18BCE62C" w14:textId="77777777" w:rsidR="003107E3" w:rsidRDefault="003107E3">
            <w:r>
              <w:t>Various images of world landmarks, country and provincial outlines</w:t>
            </w:r>
          </w:p>
          <w:p w14:paraId="70AB2F4E" w14:textId="77777777" w:rsidR="002D746E" w:rsidRDefault="002D746E"/>
          <w:p w14:paraId="21D6D63E" w14:textId="77777777" w:rsidR="003107E3" w:rsidRPr="001520BD" w:rsidRDefault="003107E3"/>
        </w:tc>
      </w:tr>
      <w:tr w:rsidR="00B551F7" w14:paraId="225AC512" w14:textId="77777777" w:rsidTr="00C106C3">
        <w:tc>
          <w:tcPr>
            <w:tcW w:w="4675" w:type="dxa"/>
            <w:shd w:val="clear" w:color="auto" w:fill="DEEAF6" w:themeFill="accent1" w:themeFillTint="33"/>
          </w:tcPr>
          <w:p w14:paraId="0D479F3A" w14:textId="77777777" w:rsidR="00B551F7" w:rsidRDefault="00B551F7" w:rsidP="003107E3">
            <w:pPr>
              <w:rPr>
                <w:b/>
              </w:rPr>
            </w:pPr>
            <w:r w:rsidRPr="001520BD">
              <w:rPr>
                <w:b/>
              </w:rPr>
              <w:lastRenderedPageBreak/>
              <w:t>Stude</w:t>
            </w:r>
            <w:r w:rsidR="003107E3">
              <w:rPr>
                <w:b/>
              </w:rPr>
              <w:t>nt Accommodations/Modifications</w:t>
            </w:r>
          </w:p>
          <w:p w14:paraId="0FB43230" w14:textId="77777777" w:rsidR="003107E3" w:rsidRDefault="003107E3" w:rsidP="003107E3">
            <w:pPr>
              <w:pStyle w:val="ListParagraph"/>
              <w:numPr>
                <w:ilvl w:val="0"/>
                <w:numId w:val="11"/>
              </w:numPr>
              <w:rPr>
                <w:b/>
              </w:rPr>
            </w:pPr>
            <w:r>
              <w:rPr>
                <w:b/>
              </w:rPr>
              <w:t>Pre - prepared provincial outlines</w:t>
            </w:r>
          </w:p>
          <w:p w14:paraId="0EF6252C" w14:textId="77777777" w:rsidR="003107E3" w:rsidRDefault="00AF04A8" w:rsidP="003107E3">
            <w:pPr>
              <w:pStyle w:val="ListParagraph"/>
              <w:numPr>
                <w:ilvl w:val="0"/>
                <w:numId w:val="11"/>
              </w:numPr>
              <w:rPr>
                <w:b/>
              </w:rPr>
            </w:pPr>
            <w:r>
              <w:rPr>
                <w:b/>
              </w:rPr>
              <w:t>Laptop/IPAD google docs</w:t>
            </w:r>
          </w:p>
          <w:p w14:paraId="13FCB246" w14:textId="77777777" w:rsidR="00AF04A8" w:rsidRPr="003107E3" w:rsidRDefault="00AF04A8" w:rsidP="003107E3">
            <w:pPr>
              <w:pStyle w:val="ListParagraph"/>
              <w:numPr>
                <w:ilvl w:val="0"/>
                <w:numId w:val="11"/>
              </w:numPr>
              <w:rPr>
                <w:b/>
              </w:rPr>
            </w:pPr>
            <w:r>
              <w:rPr>
                <w:b/>
              </w:rPr>
              <w:t>Rubber bands instead of string</w:t>
            </w:r>
          </w:p>
          <w:p w14:paraId="604FDE20" w14:textId="77777777" w:rsidR="00B551F7" w:rsidRPr="001520BD" w:rsidRDefault="00B551F7" w:rsidP="00B551F7">
            <w:pPr>
              <w:ind w:left="360"/>
              <w:rPr>
                <w:b/>
              </w:rPr>
            </w:pPr>
          </w:p>
          <w:p w14:paraId="73096264" w14:textId="77777777" w:rsidR="00B551F7" w:rsidRPr="001520BD" w:rsidRDefault="00B551F7" w:rsidP="00B551F7">
            <w:pPr>
              <w:ind w:left="360"/>
              <w:rPr>
                <w:b/>
              </w:rPr>
            </w:pPr>
          </w:p>
          <w:p w14:paraId="4A107E54" w14:textId="77777777" w:rsidR="00B551F7" w:rsidRPr="001520BD" w:rsidRDefault="00B551F7" w:rsidP="00B551F7">
            <w:pPr>
              <w:ind w:left="360"/>
              <w:rPr>
                <w:b/>
              </w:rPr>
            </w:pPr>
          </w:p>
          <w:p w14:paraId="75CB3AD9" w14:textId="77777777" w:rsidR="00B551F7" w:rsidRPr="001520BD" w:rsidRDefault="00B551F7" w:rsidP="00B551F7">
            <w:pPr>
              <w:ind w:left="360"/>
              <w:rPr>
                <w:b/>
              </w:rPr>
            </w:pPr>
          </w:p>
          <w:p w14:paraId="109D8AF9" w14:textId="77777777" w:rsidR="00B551F7" w:rsidRPr="001520BD" w:rsidRDefault="00B551F7" w:rsidP="00B551F7">
            <w:pPr>
              <w:ind w:left="360"/>
              <w:rPr>
                <w:b/>
              </w:rPr>
            </w:pPr>
          </w:p>
        </w:tc>
        <w:tc>
          <w:tcPr>
            <w:tcW w:w="4675" w:type="dxa"/>
            <w:shd w:val="clear" w:color="auto" w:fill="DEEAF6" w:themeFill="accent1" w:themeFillTint="33"/>
          </w:tcPr>
          <w:p w14:paraId="06E93AEB" w14:textId="77777777" w:rsidR="00B551F7" w:rsidRPr="001520BD" w:rsidRDefault="00B551F7" w:rsidP="00B551F7">
            <w:pPr>
              <w:rPr>
                <w:b/>
              </w:rPr>
            </w:pPr>
            <w:r w:rsidRPr="001520BD">
              <w:rPr>
                <w:b/>
              </w:rPr>
              <w:t>Lesson will be differentiated by:</w:t>
            </w:r>
          </w:p>
          <w:p w14:paraId="3C85EF49" w14:textId="77777777" w:rsidR="00B551F7" w:rsidRPr="001520BD" w:rsidRDefault="00B551F7" w:rsidP="00B551F7">
            <w:pPr>
              <w:pStyle w:val="ListParagraph"/>
              <w:numPr>
                <w:ilvl w:val="0"/>
                <w:numId w:val="10"/>
              </w:numPr>
              <w:rPr>
                <w:b/>
              </w:rPr>
            </w:pPr>
            <w:r w:rsidRPr="001520BD">
              <w:rPr>
                <w:b/>
              </w:rPr>
              <w:t>Content, specifically:</w:t>
            </w:r>
            <w:r w:rsidR="003107E3">
              <w:rPr>
                <w:b/>
              </w:rPr>
              <w:t xml:space="preserve"> Selection of province</w:t>
            </w:r>
          </w:p>
          <w:p w14:paraId="793999E9" w14:textId="77777777" w:rsidR="00B551F7" w:rsidRPr="001520BD" w:rsidRDefault="00B551F7" w:rsidP="00B551F7">
            <w:pPr>
              <w:pStyle w:val="ListParagraph"/>
              <w:numPr>
                <w:ilvl w:val="0"/>
                <w:numId w:val="10"/>
              </w:numPr>
              <w:rPr>
                <w:b/>
              </w:rPr>
            </w:pPr>
            <w:r w:rsidRPr="001520BD">
              <w:rPr>
                <w:b/>
              </w:rPr>
              <w:t>Process, specifically:</w:t>
            </w:r>
            <w:r w:rsidR="003107E3">
              <w:rPr>
                <w:b/>
              </w:rPr>
              <w:t xml:space="preserve"> </w:t>
            </w:r>
          </w:p>
          <w:p w14:paraId="31D26A0B" w14:textId="77777777" w:rsidR="00B551F7" w:rsidRPr="001520BD" w:rsidRDefault="00B551F7" w:rsidP="00B551F7">
            <w:pPr>
              <w:pStyle w:val="ListParagraph"/>
              <w:numPr>
                <w:ilvl w:val="0"/>
                <w:numId w:val="10"/>
              </w:numPr>
              <w:rPr>
                <w:b/>
              </w:rPr>
            </w:pPr>
            <w:r w:rsidRPr="001520BD">
              <w:rPr>
                <w:b/>
              </w:rPr>
              <w:t>Product, specifically:</w:t>
            </w:r>
            <w:r w:rsidR="003107E3">
              <w:rPr>
                <w:b/>
              </w:rPr>
              <w:t xml:space="preserve"> </w:t>
            </w:r>
            <w:r w:rsidR="00AF04A8">
              <w:rPr>
                <w:b/>
              </w:rPr>
              <w:t>Google Doc instead of paper work, rubber bands instead of string</w:t>
            </w:r>
          </w:p>
          <w:p w14:paraId="703AFF23" w14:textId="77777777" w:rsidR="001520BD" w:rsidRPr="00AF04A8" w:rsidRDefault="00B551F7" w:rsidP="00AF04A8">
            <w:pPr>
              <w:pStyle w:val="ListParagraph"/>
              <w:numPr>
                <w:ilvl w:val="0"/>
                <w:numId w:val="10"/>
              </w:numPr>
              <w:rPr>
                <w:b/>
              </w:rPr>
            </w:pPr>
            <w:r w:rsidRPr="001520BD">
              <w:rPr>
                <w:b/>
              </w:rPr>
              <w:t xml:space="preserve">Environment, specifically:  </w:t>
            </w:r>
            <w:r w:rsidR="003107E3">
              <w:rPr>
                <w:b/>
              </w:rPr>
              <w:t>Maker space or class</w:t>
            </w:r>
          </w:p>
        </w:tc>
      </w:tr>
      <w:tr w:rsidR="00CC7FEE" w14:paraId="356FED39" w14:textId="77777777" w:rsidTr="001520BD">
        <w:tc>
          <w:tcPr>
            <w:tcW w:w="9350" w:type="dxa"/>
            <w:gridSpan w:val="2"/>
            <w:shd w:val="clear" w:color="auto" w:fill="9CC2E5" w:themeFill="accent1" w:themeFillTint="99"/>
          </w:tcPr>
          <w:p w14:paraId="0F4717FD"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39BE55E1" w14:textId="77777777" w:rsidTr="007E18E8">
        <w:tc>
          <w:tcPr>
            <w:tcW w:w="4675" w:type="dxa"/>
          </w:tcPr>
          <w:p w14:paraId="21EC72E9"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070107E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4D98BF5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77F0928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6332AB9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29EDE2FA" w14:textId="77777777" w:rsidR="001520BD" w:rsidRPr="001520BD" w:rsidRDefault="001520BD" w:rsidP="001520BD">
            <w:pPr>
              <w:pStyle w:val="Default"/>
              <w:rPr>
                <w:rFonts w:asciiTheme="minorHAnsi" w:hAnsiTheme="minorHAnsi"/>
                <w:sz w:val="22"/>
                <w:szCs w:val="22"/>
              </w:rPr>
            </w:pPr>
          </w:p>
        </w:tc>
        <w:tc>
          <w:tcPr>
            <w:tcW w:w="4675" w:type="dxa"/>
          </w:tcPr>
          <w:p w14:paraId="262954DB"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A92CB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6724B26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05DC2DE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6AD9914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37A7C1B0" w14:textId="77777777" w:rsidR="007E18E8" w:rsidRPr="001520BD" w:rsidRDefault="007E18E8">
            <w:pPr>
              <w:rPr>
                <w:b/>
              </w:rPr>
            </w:pPr>
          </w:p>
        </w:tc>
      </w:tr>
      <w:tr w:rsidR="004F24F6" w14:paraId="5C4BF6CD" w14:textId="77777777" w:rsidTr="001520BD">
        <w:tc>
          <w:tcPr>
            <w:tcW w:w="9350" w:type="dxa"/>
            <w:gridSpan w:val="2"/>
            <w:shd w:val="clear" w:color="auto" w:fill="DEEAF6" w:themeFill="accent1" w:themeFillTint="33"/>
          </w:tcPr>
          <w:p w14:paraId="55F1638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883A36F" w14:textId="77777777" w:rsidR="004F24F6" w:rsidRPr="001520BD" w:rsidRDefault="004F24F6" w:rsidP="004F24F6">
            <w:pPr>
              <w:rPr>
                <w:b/>
              </w:rPr>
            </w:pPr>
          </w:p>
          <w:p w14:paraId="5D21A30D" w14:textId="7242B440" w:rsidR="004F24F6" w:rsidRDefault="003107E3" w:rsidP="004F24F6">
            <w:pPr>
              <w:rPr>
                <w:b/>
              </w:rPr>
            </w:pPr>
            <w:r>
              <w:rPr>
                <w:b/>
              </w:rPr>
              <w:t xml:space="preserve">Show students pictures of various famous world and Canadian landmarks.  Ask students if they know where these places are. </w:t>
            </w:r>
          </w:p>
          <w:p w14:paraId="6E791FBB" w14:textId="77777777" w:rsidR="003107E3" w:rsidRDefault="003107E3" w:rsidP="004F24F6">
            <w:pPr>
              <w:rPr>
                <w:b/>
              </w:rPr>
            </w:pPr>
            <w:r>
              <w:rPr>
                <w:b/>
              </w:rPr>
              <w:t>Show students outlines of various countries of the world, ask students if they know what countries they represent.</w:t>
            </w:r>
          </w:p>
          <w:p w14:paraId="37C34C5C" w14:textId="77777777" w:rsidR="003107E3" w:rsidRDefault="003107E3" w:rsidP="004F24F6">
            <w:pPr>
              <w:rPr>
                <w:b/>
              </w:rPr>
            </w:pPr>
            <w:r>
              <w:rPr>
                <w:b/>
              </w:rPr>
              <w:t xml:space="preserve">Ask students to think, pair and share the various different provinces and territories of Canada. </w:t>
            </w:r>
          </w:p>
          <w:p w14:paraId="5A552FF9" w14:textId="77777777" w:rsidR="003107E3" w:rsidRDefault="003107E3" w:rsidP="004F24F6">
            <w:pPr>
              <w:pStyle w:val="ListParagraph"/>
              <w:numPr>
                <w:ilvl w:val="0"/>
                <w:numId w:val="11"/>
              </w:numPr>
              <w:rPr>
                <w:b/>
              </w:rPr>
            </w:pPr>
            <w:r>
              <w:rPr>
                <w:b/>
              </w:rPr>
              <w:t>Students should consider trips they may have made or what they have seen on TV etc.</w:t>
            </w:r>
          </w:p>
          <w:p w14:paraId="111E5966" w14:textId="77777777" w:rsidR="004F24F6" w:rsidRPr="003107E3" w:rsidRDefault="003107E3" w:rsidP="003107E3">
            <w:pPr>
              <w:rPr>
                <w:b/>
              </w:rPr>
            </w:pPr>
            <w:r>
              <w:rPr>
                <w:b/>
              </w:rPr>
              <w:t>As an exit</w:t>
            </w:r>
            <w:r w:rsidR="00AF04A8">
              <w:rPr>
                <w:b/>
              </w:rPr>
              <w:t>/entry</w:t>
            </w:r>
            <w:r>
              <w:rPr>
                <w:b/>
              </w:rPr>
              <w:t xml:space="preserve"> card show students outlines of various Canadian provinces and ask them to identify them on paper or on a google doc.</w:t>
            </w:r>
          </w:p>
          <w:p w14:paraId="54584DC8" w14:textId="0C79747B" w:rsidR="003107E3" w:rsidRDefault="00AF04A8" w:rsidP="003107E3">
            <w:pPr>
              <w:rPr>
                <w:b/>
              </w:rPr>
            </w:pPr>
            <w:r>
              <w:rPr>
                <w:b/>
              </w:rPr>
              <w:t>Describe task to students – pick a province or territory, research the shape of its political boundaries, create a stencil of this and use this to produce a piece of string art in the shape of a Canadian province or territory</w:t>
            </w:r>
            <w:r w:rsidR="002D746E">
              <w:rPr>
                <w:b/>
              </w:rPr>
              <w:t>.</w:t>
            </w:r>
          </w:p>
          <w:p w14:paraId="5AACE68B" w14:textId="77777777" w:rsidR="00AF04A8" w:rsidRDefault="00AF04A8" w:rsidP="00AF04A8">
            <w:pPr>
              <w:pStyle w:val="ListParagraph"/>
              <w:numPr>
                <w:ilvl w:val="0"/>
                <w:numId w:val="11"/>
              </w:numPr>
              <w:rPr>
                <w:b/>
              </w:rPr>
            </w:pPr>
            <w:r>
              <w:rPr>
                <w:b/>
              </w:rPr>
              <w:t xml:space="preserve">Show students a variety of different string art activities </w:t>
            </w:r>
          </w:p>
          <w:p w14:paraId="36154A1F" w14:textId="77777777" w:rsidR="00AF04A8" w:rsidRDefault="00FC0BA5" w:rsidP="00AF04A8">
            <w:pPr>
              <w:pStyle w:val="ListParagraph"/>
              <w:numPr>
                <w:ilvl w:val="0"/>
                <w:numId w:val="11"/>
              </w:numPr>
              <w:rPr>
                <w:b/>
              </w:rPr>
            </w:pPr>
            <w:hyperlink r:id="rId9" w:history="1">
              <w:r w:rsidR="00AF04A8" w:rsidRPr="00CF44EF">
                <w:rPr>
                  <w:rStyle w:val="Hyperlink"/>
                  <w:b/>
                </w:rPr>
                <w:t>https://www.google.ca/search?q=string+art+examples&amp;source=lnms&amp;tbm=isch&amp;sa=X&amp;ved=0ahUKEwjqvpCEtpbUAhUQ0IMKHQOqAVgQ_AUICigB&amp;biw=1366&amp;bih=604</w:t>
              </w:r>
            </w:hyperlink>
          </w:p>
          <w:p w14:paraId="69C9691E" w14:textId="77777777" w:rsidR="00AF04A8" w:rsidRPr="00AF04A8" w:rsidRDefault="00AF04A8" w:rsidP="00AF04A8">
            <w:pPr>
              <w:ind w:left="360"/>
              <w:rPr>
                <w:b/>
              </w:rPr>
            </w:pPr>
          </w:p>
          <w:p w14:paraId="6ED28647" w14:textId="77777777" w:rsidR="003107E3" w:rsidRPr="00AF04A8" w:rsidRDefault="00AF04A8" w:rsidP="00AF04A8">
            <w:pPr>
              <w:rPr>
                <w:b/>
              </w:rPr>
            </w:pPr>
            <w:r>
              <w:rPr>
                <w:b/>
              </w:rPr>
              <w:t>Brainstorm with class and create an anchor chart of the process and the materials that may be used.</w:t>
            </w:r>
          </w:p>
          <w:p w14:paraId="1D763E97" w14:textId="77777777" w:rsidR="004F24F6" w:rsidRPr="001520BD" w:rsidRDefault="004F24F6" w:rsidP="004F24F6">
            <w:pPr>
              <w:rPr>
                <w:b/>
              </w:rPr>
            </w:pPr>
          </w:p>
        </w:tc>
      </w:tr>
      <w:tr w:rsidR="00CC7FEE" w14:paraId="0C83E911" w14:textId="77777777" w:rsidTr="001520BD">
        <w:tc>
          <w:tcPr>
            <w:tcW w:w="9350" w:type="dxa"/>
            <w:gridSpan w:val="2"/>
            <w:shd w:val="clear" w:color="auto" w:fill="9CC2E5" w:themeFill="accent1" w:themeFillTint="99"/>
          </w:tcPr>
          <w:p w14:paraId="69480F68" w14:textId="77777777" w:rsidR="00CC7FEE" w:rsidRPr="00AF04A8" w:rsidRDefault="00AF04A8" w:rsidP="00AF04A8">
            <w:pPr>
              <w:rPr>
                <w:b/>
              </w:rPr>
            </w:pPr>
            <w:r w:rsidRPr="001520BD">
              <w:rPr>
                <w:b/>
              </w:rPr>
              <w:t>ACTION:  Working on it</w:t>
            </w:r>
          </w:p>
        </w:tc>
      </w:tr>
      <w:tr w:rsidR="007E18E8" w14:paraId="4F6E37AA" w14:textId="77777777" w:rsidTr="007E18E8">
        <w:tc>
          <w:tcPr>
            <w:tcW w:w="4675" w:type="dxa"/>
          </w:tcPr>
          <w:p w14:paraId="3B90F450"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42F9715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767CD22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2D96A53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074E003D"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66BC6ED"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7FBB56B9" w14:textId="77777777" w:rsidR="00CC7FEE" w:rsidRPr="001520BD" w:rsidRDefault="004F24F6" w:rsidP="001520BD">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tc>
        <w:tc>
          <w:tcPr>
            <w:tcW w:w="4675" w:type="dxa"/>
          </w:tcPr>
          <w:p w14:paraId="50FAF53C"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469EEC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59EC143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50D0D68D"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76C3C51F" w14:textId="77777777" w:rsidR="007E18E8" w:rsidRPr="001520BD" w:rsidRDefault="004F24F6" w:rsidP="004F24F6">
            <w:r w:rsidRPr="001520BD">
              <w:t xml:space="preserve">• explore and develop strategies and concepts. </w:t>
            </w:r>
          </w:p>
        </w:tc>
      </w:tr>
      <w:tr w:rsidR="004F24F6" w14:paraId="35FB7BD4" w14:textId="77777777" w:rsidTr="001520BD">
        <w:tc>
          <w:tcPr>
            <w:tcW w:w="9350" w:type="dxa"/>
            <w:gridSpan w:val="2"/>
            <w:shd w:val="clear" w:color="auto" w:fill="DEEAF6" w:themeFill="accent1" w:themeFillTint="33"/>
          </w:tcPr>
          <w:p w14:paraId="525A42E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BC5A96D" w14:textId="77777777" w:rsidR="004F24F6" w:rsidRDefault="004F24F6" w:rsidP="004F24F6">
            <w:pPr>
              <w:rPr>
                <w:b/>
              </w:rPr>
            </w:pPr>
          </w:p>
          <w:p w14:paraId="1901B110" w14:textId="2A763DB2" w:rsidR="001520BD" w:rsidRDefault="00AF04A8" w:rsidP="00AF04A8">
            <w:pPr>
              <w:rPr>
                <w:b/>
              </w:rPr>
            </w:pPr>
            <w:r>
              <w:rPr>
                <w:b/>
              </w:rPr>
              <w:t>Students will have 1 class to create a stencil (on paper from hand, printing from a computer) of a Canadian province or territory. Students may also want to sand/paint their wood before tracing their stencil on the wood</w:t>
            </w:r>
            <w:r w:rsidR="002D746E">
              <w:rPr>
                <w:b/>
              </w:rPr>
              <w:t>.</w:t>
            </w:r>
            <w:r>
              <w:rPr>
                <w:b/>
              </w:rPr>
              <w:t xml:space="preserve"> </w:t>
            </w:r>
          </w:p>
          <w:p w14:paraId="70F26D07" w14:textId="1529932F" w:rsidR="00AF04A8" w:rsidRDefault="00AF04A8" w:rsidP="00AF04A8">
            <w:pPr>
              <w:pStyle w:val="ListParagraph"/>
              <w:numPr>
                <w:ilvl w:val="0"/>
                <w:numId w:val="11"/>
              </w:numPr>
              <w:rPr>
                <w:b/>
              </w:rPr>
            </w:pPr>
            <w:r>
              <w:rPr>
                <w:b/>
              </w:rPr>
              <w:t>Students also to trace their stencil onto their wood</w:t>
            </w:r>
            <w:r w:rsidR="002D746E">
              <w:rPr>
                <w:b/>
              </w:rPr>
              <w:t>.</w:t>
            </w:r>
          </w:p>
          <w:p w14:paraId="1F4DAAEB" w14:textId="77777777" w:rsidR="00AF04A8" w:rsidRDefault="00AF04A8" w:rsidP="00AF04A8">
            <w:pPr>
              <w:rPr>
                <w:b/>
              </w:rPr>
            </w:pPr>
            <w:r>
              <w:rPr>
                <w:b/>
              </w:rPr>
              <w:t>Students will need 1 or 2 classes to drive in a number of nails around the outside of their stencil (keep nails about 2cm apart but always at corners)</w:t>
            </w:r>
          </w:p>
          <w:p w14:paraId="01A2B924" w14:textId="77777777" w:rsidR="00AF04A8" w:rsidRDefault="00E4460A" w:rsidP="00AF04A8">
            <w:pPr>
              <w:rPr>
                <w:b/>
              </w:rPr>
            </w:pPr>
            <w:r>
              <w:rPr>
                <w:b/>
              </w:rPr>
              <w:t xml:space="preserve">Students wrap and tie string around the outline of their region and then in a pattern of their choice to ‘fill in’ the remainder. </w:t>
            </w:r>
          </w:p>
          <w:p w14:paraId="5AA53D4B" w14:textId="77002A6B" w:rsidR="00E4460A" w:rsidRDefault="00E4460A" w:rsidP="00E4460A">
            <w:pPr>
              <w:pStyle w:val="ListParagraph"/>
              <w:numPr>
                <w:ilvl w:val="0"/>
                <w:numId w:val="11"/>
              </w:numPr>
              <w:rPr>
                <w:b/>
              </w:rPr>
            </w:pPr>
            <w:r>
              <w:rPr>
                <w:b/>
              </w:rPr>
              <w:t>Students may use rubber bands instead of string as they wind it around nails. This is definitely appropriate for students with reduced fine motor skills</w:t>
            </w:r>
            <w:r w:rsidR="002D746E">
              <w:rPr>
                <w:b/>
              </w:rPr>
              <w:t>.</w:t>
            </w:r>
          </w:p>
          <w:p w14:paraId="102D4E53" w14:textId="77777777" w:rsidR="00E4460A" w:rsidRDefault="00E4460A" w:rsidP="00E4460A">
            <w:pPr>
              <w:rPr>
                <w:b/>
              </w:rPr>
            </w:pPr>
            <w:r>
              <w:rPr>
                <w:b/>
              </w:rPr>
              <w:t>Student work should be displayed and teacher should quiz students regularly during class to see if other students can identify outline of region.</w:t>
            </w:r>
          </w:p>
          <w:p w14:paraId="3522908F" w14:textId="5C683B7D" w:rsidR="00E4460A" w:rsidRPr="00E4460A" w:rsidRDefault="00E4460A" w:rsidP="00E4460A">
            <w:pPr>
              <w:rPr>
                <w:b/>
              </w:rPr>
            </w:pPr>
            <w:r>
              <w:rPr>
                <w:b/>
              </w:rPr>
              <w:t>Students will clearly print or otherwise label their completed string art project with the name of their region</w:t>
            </w:r>
            <w:r w:rsidR="002D746E">
              <w:rPr>
                <w:b/>
              </w:rPr>
              <w:t>.</w:t>
            </w:r>
          </w:p>
          <w:p w14:paraId="0A107F97" w14:textId="77777777" w:rsidR="001520BD" w:rsidRPr="001520BD" w:rsidRDefault="001520BD" w:rsidP="004F24F6">
            <w:pPr>
              <w:rPr>
                <w:b/>
              </w:rPr>
            </w:pPr>
          </w:p>
        </w:tc>
      </w:tr>
      <w:tr w:rsidR="00CC7FEE" w14:paraId="694AD10D" w14:textId="77777777" w:rsidTr="001520BD">
        <w:tc>
          <w:tcPr>
            <w:tcW w:w="9350" w:type="dxa"/>
            <w:gridSpan w:val="2"/>
            <w:shd w:val="clear" w:color="auto" w:fill="9CC2E5" w:themeFill="accent1" w:themeFillTint="99"/>
          </w:tcPr>
          <w:p w14:paraId="0BCA41CB" w14:textId="77777777" w:rsidR="00CC7FEE" w:rsidRPr="00AF04A8" w:rsidRDefault="00E4460A" w:rsidP="00AF04A8">
            <w:pPr>
              <w:rPr>
                <w:b/>
              </w:rPr>
            </w:pPr>
            <w:r w:rsidRPr="001520BD">
              <w:rPr>
                <w:b/>
              </w:rPr>
              <w:t>CONSOLIDATION:  Reflecting and Connecting</w:t>
            </w:r>
          </w:p>
        </w:tc>
      </w:tr>
      <w:tr w:rsidR="007E18E8" w14:paraId="03C0F74F" w14:textId="77777777" w:rsidTr="004F24F6">
        <w:trPr>
          <w:trHeight w:val="499"/>
        </w:trPr>
        <w:tc>
          <w:tcPr>
            <w:tcW w:w="4675" w:type="dxa"/>
          </w:tcPr>
          <w:p w14:paraId="7642C46C"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A76683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2B89892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565FA8C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2EDA0387"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CC61ED7"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579A2546"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5B6AEFE1" w14:textId="77777777" w:rsidR="007E18E8" w:rsidRDefault="007E18E8">
            <w:pPr>
              <w:rPr>
                <w:b/>
              </w:rPr>
            </w:pPr>
          </w:p>
          <w:p w14:paraId="3081731D" w14:textId="77777777" w:rsidR="002D746E" w:rsidRDefault="002D746E">
            <w:pPr>
              <w:rPr>
                <w:b/>
              </w:rPr>
            </w:pPr>
          </w:p>
          <w:p w14:paraId="4F94E258" w14:textId="77777777" w:rsidR="002D746E" w:rsidRPr="001520BD" w:rsidRDefault="002D746E">
            <w:pPr>
              <w:rPr>
                <w:b/>
              </w:rPr>
            </w:pPr>
          </w:p>
        </w:tc>
        <w:tc>
          <w:tcPr>
            <w:tcW w:w="4675" w:type="dxa"/>
          </w:tcPr>
          <w:p w14:paraId="1DBC23BC"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5B3AE00"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9271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1B245671"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5C14FC53"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2C20DCBD" w14:textId="77777777" w:rsidR="00CC7FEE" w:rsidRPr="001520BD" w:rsidRDefault="00CC7FEE" w:rsidP="00BB1E4D">
            <w:pPr>
              <w:pStyle w:val="Default"/>
              <w:rPr>
                <w:rFonts w:asciiTheme="minorHAnsi" w:hAnsiTheme="minorHAnsi"/>
                <w:b/>
                <w:sz w:val="22"/>
                <w:szCs w:val="22"/>
              </w:rPr>
            </w:pPr>
          </w:p>
        </w:tc>
      </w:tr>
      <w:tr w:rsidR="004F24F6" w14:paraId="2B2DE853" w14:textId="77777777" w:rsidTr="00BB1E4D">
        <w:tc>
          <w:tcPr>
            <w:tcW w:w="9350" w:type="dxa"/>
            <w:gridSpan w:val="2"/>
            <w:shd w:val="clear" w:color="auto" w:fill="DEEAF6" w:themeFill="accent1" w:themeFillTint="33"/>
          </w:tcPr>
          <w:p w14:paraId="1CDC5177"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4087EC46" w14:textId="727607DD" w:rsidR="00E4460A" w:rsidRDefault="00E4460A" w:rsidP="00E4460A">
            <w:pPr>
              <w:pStyle w:val="Default"/>
              <w:spacing w:before="120"/>
              <w:rPr>
                <w:rFonts w:asciiTheme="minorHAnsi" w:hAnsiTheme="minorHAnsi"/>
                <w:sz w:val="22"/>
                <w:szCs w:val="22"/>
              </w:rPr>
            </w:pPr>
            <w:r>
              <w:rPr>
                <w:rFonts w:asciiTheme="minorHAnsi" w:hAnsiTheme="minorHAnsi"/>
                <w:sz w:val="22"/>
                <w:szCs w:val="22"/>
              </w:rPr>
              <w:t>Ask students which regions would be the easiest/difficult to remember. Which region’s shapes resemble o</w:t>
            </w:r>
            <w:r w:rsidR="002D746E">
              <w:rPr>
                <w:rFonts w:asciiTheme="minorHAnsi" w:hAnsiTheme="minorHAnsi"/>
                <w:sz w:val="22"/>
                <w:szCs w:val="22"/>
              </w:rPr>
              <w:t>r</w:t>
            </w:r>
            <w:r>
              <w:rPr>
                <w:rFonts w:asciiTheme="minorHAnsi" w:hAnsiTheme="minorHAnsi"/>
                <w:sz w:val="22"/>
                <w:szCs w:val="22"/>
              </w:rPr>
              <w:t xml:space="preserve"> make them think of other things</w:t>
            </w:r>
            <w:r w:rsidR="002D746E">
              <w:rPr>
                <w:rFonts w:asciiTheme="minorHAnsi" w:hAnsiTheme="minorHAnsi"/>
                <w:sz w:val="22"/>
                <w:szCs w:val="22"/>
              </w:rPr>
              <w:t>?</w:t>
            </w:r>
            <w:r>
              <w:rPr>
                <w:rFonts w:asciiTheme="minorHAnsi" w:hAnsiTheme="minorHAnsi"/>
                <w:sz w:val="22"/>
                <w:szCs w:val="22"/>
              </w:rPr>
              <w:t xml:space="preserve"> Post these ideas on anchor charts under students work that has been displayed around the room</w:t>
            </w:r>
            <w:r w:rsidR="002D746E">
              <w:rPr>
                <w:rFonts w:asciiTheme="minorHAnsi" w:hAnsiTheme="minorHAnsi"/>
                <w:sz w:val="22"/>
                <w:szCs w:val="22"/>
              </w:rPr>
              <w:t>.</w:t>
            </w:r>
          </w:p>
          <w:p w14:paraId="39801EBC" w14:textId="0E7FE46D" w:rsidR="00BB1E4D" w:rsidRPr="001520BD" w:rsidRDefault="00E4460A" w:rsidP="001520BD">
            <w:pPr>
              <w:pStyle w:val="Default"/>
              <w:spacing w:before="120"/>
              <w:rPr>
                <w:rFonts w:asciiTheme="minorHAnsi" w:hAnsiTheme="minorHAnsi"/>
                <w:sz w:val="22"/>
                <w:szCs w:val="22"/>
              </w:rPr>
            </w:pPr>
            <w:r>
              <w:rPr>
                <w:rFonts w:asciiTheme="minorHAnsi" w:hAnsiTheme="minorHAnsi"/>
                <w:sz w:val="22"/>
                <w:szCs w:val="22"/>
              </w:rPr>
              <w:t>Have students complete an exit card questionnaire on the political outlines of various regions</w:t>
            </w:r>
            <w:r w:rsidR="002D746E">
              <w:rPr>
                <w:rFonts w:asciiTheme="minorHAnsi" w:hAnsiTheme="minorHAnsi"/>
                <w:sz w:val="22"/>
                <w:szCs w:val="22"/>
              </w:rPr>
              <w:t xml:space="preserve"> as a means of assessment.</w:t>
            </w:r>
          </w:p>
          <w:p w14:paraId="0327DBF5" w14:textId="77777777" w:rsidR="004F24F6" w:rsidRPr="001520BD" w:rsidRDefault="004F24F6">
            <w:pPr>
              <w:rPr>
                <w:b/>
              </w:rPr>
            </w:pPr>
          </w:p>
        </w:tc>
      </w:tr>
    </w:tbl>
    <w:p w14:paraId="1B3672FA"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694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939E" w14:textId="77777777" w:rsidR="00EC61AE" w:rsidRDefault="00EC61AE" w:rsidP="004F24F6">
      <w:pPr>
        <w:spacing w:after="0" w:line="240" w:lineRule="auto"/>
      </w:pPr>
      <w:r>
        <w:separator/>
      </w:r>
    </w:p>
  </w:endnote>
  <w:endnote w:type="continuationSeparator" w:id="0">
    <w:p w14:paraId="08D7E2EE" w14:textId="77777777" w:rsidR="00EC61AE" w:rsidRDefault="00EC61AE"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Palatino">
    <w:altName w:val="Book Antiqua"/>
    <w:panose1 w:val="02000500000000000000"/>
    <w:charset w:val="00"/>
    <w:family w:val="roman"/>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1018" w14:textId="1CB3F23B" w:rsidR="004F24F6" w:rsidRDefault="006A7216">
    <w:pPr>
      <w:pStyle w:val="Footer"/>
    </w:pPr>
    <w:r>
      <w:t xml:space="preserve">Northeastern Elementary School—Rainbow District School Board                                                                 </w:t>
    </w:r>
    <w:r w:rsidR="004F24F6">
      <w:t>Adapted from</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FA9B" w14:textId="77777777" w:rsidR="00EC61AE" w:rsidRDefault="00EC61AE" w:rsidP="004F24F6">
      <w:pPr>
        <w:spacing w:after="0" w:line="240" w:lineRule="auto"/>
      </w:pPr>
      <w:r>
        <w:separator/>
      </w:r>
    </w:p>
  </w:footnote>
  <w:footnote w:type="continuationSeparator" w:id="0">
    <w:p w14:paraId="29FD0A2E" w14:textId="77777777" w:rsidR="00EC61AE" w:rsidRDefault="00EC61AE"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03014429" w14:textId="77777777" w:rsidR="001520BD" w:rsidRDefault="001520BD">
        <w:pPr>
          <w:pStyle w:val="Header"/>
          <w:jc w:val="right"/>
        </w:pPr>
        <w:r>
          <w:fldChar w:fldCharType="begin"/>
        </w:r>
        <w:r>
          <w:instrText xml:space="preserve"> PAGE   \* MERGEFORMAT </w:instrText>
        </w:r>
        <w:r>
          <w:fldChar w:fldCharType="separate"/>
        </w:r>
        <w:r w:rsidR="00FC0BA5">
          <w:rPr>
            <w:noProof/>
          </w:rPr>
          <w:t>1</w:t>
        </w:r>
        <w:r>
          <w:rPr>
            <w:noProof/>
          </w:rPr>
          <w:fldChar w:fldCharType="end"/>
        </w:r>
      </w:p>
    </w:sdtContent>
  </w:sdt>
  <w:p w14:paraId="62A08A92"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F7C4180"/>
    <w:multiLevelType w:val="hybridMultilevel"/>
    <w:tmpl w:val="461E7A02"/>
    <w:lvl w:ilvl="0" w:tplc="022CD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9"/>
  </w:num>
  <w:num w:numId="8">
    <w:abstractNumId w:val="3"/>
  </w:num>
  <w:num w:numId="9">
    <w:abstractNumId w:val="10"/>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55E1D"/>
    <w:rsid w:val="001520BD"/>
    <w:rsid w:val="0022067D"/>
    <w:rsid w:val="002B733D"/>
    <w:rsid w:val="002D746E"/>
    <w:rsid w:val="003107E3"/>
    <w:rsid w:val="00361C5C"/>
    <w:rsid w:val="004E794B"/>
    <w:rsid w:val="004F24F6"/>
    <w:rsid w:val="00521790"/>
    <w:rsid w:val="00604F9A"/>
    <w:rsid w:val="00644528"/>
    <w:rsid w:val="006A7216"/>
    <w:rsid w:val="00722F2C"/>
    <w:rsid w:val="007E18E8"/>
    <w:rsid w:val="007F0672"/>
    <w:rsid w:val="008562CE"/>
    <w:rsid w:val="00883FF5"/>
    <w:rsid w:val="00924DEE"/>
    <w:rsid w:val="009D7CEF"/>
    <w:rsid w:val="00AF04A8"/>
    <w:rsid w:val="00B551F7"/>
    <w:rsid w:val="00BB1E4D"/>
    <w:rsid w:val="00BC6DC5"/>
    <w:rsid w:val="00BD5129"/>
    <w:rsid w:val="00C106C3"/>
    <w:rsid w:val="00CC7FEE"/>
    <w:rsid w:val="00DF2347"/>
    <w:rsid w:val="00E12448"/>
    <w:rsid w:val="00E30F68"/>
    <w:rsid w:val="00E4460A"/>
    <w:rsid w:val="00EC61AE"/>
    <w:rsid w:val="00ED454E"/>
    <w:rsid w:val="00FC0B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9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customStyle="1" w:styleId="Pa28">
    <w:name w:val="Pa28"/>
    <w:basedOn w:val="Default"/>
    <w:next w:val="Default"/>
    <w:uiPriority w:val="99"/>
    <w:rsid w:val="0022067D"/>
    <w:pPr>
      <w:spacing w:line="191" w:lineRule="atLeast"/>
    </w:pPr>
    <w:rPr>
      <w:rFonts w:ascii="MyriaMM" w:hAnsi="MyriaMM" w:cstheme="minorBidi"/>
      <w:color w:val="auto"/>
      <w:lang w:val="en-US"/>
    </w:rPr>
  </w:style>
  <w:style w:type="character" w:styleId="Hyperlink">
    <w:name w:val="Hyperlink"/>
    <w:basedOn w:val="DefaultParagraphFont"/>
    <w:uiPriority w:val="99"/>
    <w:unhideWhenUsed/>
    <w:rsid w:val="00AF04A8"/>
    <w:rPr>
      <w:color w:val="0563C1" w:themeColor="hyperlink"/>
      <w:u w:val="single"/>
    </w:rPr>
  </w:style>
  <w:style w:type="character" w:styleId="CommentReference">
    <w:name w:val="annotation reference"/>
    <w:basedOn w:val="DefaultParagraphFont"/>
    <w:uiPriority w:val="99"/>
    <w:semiHidden/>
    <w:unhideWhenUsed/>
    <w:rsid w:val="00924DEE"/>
    <w:rPr>
      <w:sz w:val="16"/>
      <w:szCs w:val="16"/>
    </w:rPr>
  </w:style>
  <w:style w:type="paragraph" w:styleId="CommentText">
    <w:name w:val="annotation text"/>
    <w:basedOn w:val="Normal"/>
    <w:link w:val="CommentTextChar"/>
    <w:uiPriority w:val="99"/>
    <w:semiHidden/>
    <w:unhideWhenUsed/>
    <w:rsid w:val="00924DEE"/>
    <w:pPr>
      <w:spacing w:line="240" w:lineRule="auto"/>
    </w:pPr>
    <w:rPr>
      <w:sz w:val="20"/>
      <w:szCs w:val="20"/>
    </w:rPr>
  </w:style>
  <w:style w:type="character" w:customStyle="1" w:styleId="CommentTextChar">
    <w:name w:val="Comment Text Char"/>
    <w:basedOn w:val="DefaultParagraphFont"/>
    <w:link w:val="CommentText"/>
    <w:uiPriority w:val="99"/>
    <w:semiHidden/>
    <w:rsid w:val="00924DEE"/>
    <w:rPr>
      <w:sz w:val="20"/>
      <w:szCs w:val="20"/>
    </w:rPr>
  </w:style>
  <w:style w:type="paragraph" w:styleId="CommentSubject">
    <w:name w:val="annotation subject"/>
    <w:basedOn w:val="CommentText"/>
    <w:next w:val="CommentText"/>
    <w:link w:val="CommentSubjectChar"/>
    <w:uiPriority w:val="99"/>
    <w:semiHidden/>
    <w:unhideWhenUsed/>
    <w:rsid w:val="00924DEE"/>
    <w:rPr>
      <w:b/>
      <w:bCs/>
    </w:rPr>
  </w:style>
  <w:style w:type="character" w:customStyle="1" w:styleId="CommentSubjectChar">
    <w:name w:val="Comment Subject Char"/>
    <w:basedOn w:val="CommentTextChar"/>
    <w:link w:val="CommentSubject"/>
    <w:uiPriority w:val="99"/>
    <w:semiHidden/>
    <w:rsid w:val="00924DE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customStyle="1" w:styleId="Pa28">
    <w:name w:val="Pa28"/>
    <w:basedOn w:val="Default"/>
    <w:next w:val="Default"/>
    <w:uiPriority w:val="99"/>
    <w:rsid w:val="0022067D"/>
    <w:pPr>
      <w:spacing w:line="191" w:lineRule="atLeast"/>
    </w:pPr>
    <w:rPr>
      <w:rFonts w:ascii="MyriaMM" w:hAnsi="MyriaMM" w:cstheme="minorBidi"/>
      <w:color w:val="auto"/>
      <w:lang w:val="en-US"/>
    </w:rPr>
  </w:style>
  <w:style w:type="character" w:styleId="Hyperlink">
    <w:name w:val="Hyperlink"/>
    <w:basedOn w:val="DefaultParagraphFont"/>
    <w:uiPriority w:val="99"/>
    <w:unhideWhenUsed/>
    <w:rsid w:val="00AF04A8"/>
    <w:rPr>
      <w:color w:val="0563C1" w:themeColor="hyperlink"/>
      <w:u w:val="single"/>
    </w:rPr>
  </w:style>
  <w:style w:type="character" w:styleId="CommentReference">
    <w:name w:val="annotation reference"/>
    <w:basedOn w:val="DefaultParagraphFont"/>
    <w:uiPriority w:val="99"/>
    <w:semiHidden/>
    <w:unhideWhenUsed/>
    <w:rsid w:val="00924DEE"/>
    <w:rPr>
      <w:sz w:val="16"/>
      <w:szCs w:val="16"/>
    </w:rPr>
  </w:style>
  <w:style w:type="paragraph" w:styleId="CommentText">
    <w:name w:val="annotation text"/>
    <w:basedOn w:val="Normal"/>
    <w:link w:val="CommentTextChar"/>
    <w:uiPriority w:val="99"/>
    <w:semiHidden/>
    <w:unhideWhenUsed/>
    <w:rsid w:val="00924DEE"/>
    <w:pPr>
      <w:spacing w:line="240" w:lineRule="auto"/>
    </w:pPr>
    <w:rPr>
      <w:sz w:val="20"/>
      <w:szCs w:val="20"/>
    </w:rPr>
  </w:style>
  <w:style w:type="character" w:customStyle="1" w:styleId="CommentTextChar">
    <w:name w:val="Comment Text Char"/>
    <w:basedOn w:val="DefaultParagraphFont"/>
    <w:link w:val="CommentText"/>
    <w:uiPriority w:val="99"/>
    <w:semiHidden/>
    <w:rsid w:val="00924DEE"/>
    <w:rPr>
      <w:sz w:val="20"/>
      <w:szCs w:val="20"/>
    </w:rPr>
  </w:style>
  <w:style w:type="paragraph" w:styleId="CommentSubject">
    <w:name w:val="annotation subject"/>
    <w:basedOn w:val="CommentText"/>
    <w:next w:val="CommentText"/>
    <w:link w:val="CommentSubjectChar"/>
    <w:uiPriority w:val="99"/>
    <w:semiHidden/>
    <w:unhideWhenUsed/>
    <w:rsid w:val="00924DEE"/>
    <w:rPr>
      <w:b/>
      <w:bCs/>
    </w:rPr>
  </w:style>
  <w:style w:type="character" w:customStyle="1" w:styleId="CommentSubjectChar">
    <w:name w:val="Comment Subject Char"/>
    <w:basedOn w:val="CommentTextChar"/>
    <w:link w:val="CommentSubject"/>
    <w:uiPriority w:val="99"/>
    <w:semiHidden/>
    <w:rsid w:val="00924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ca/search?q=string+art+examples&amp;source=lnms&amp;tbm=isch&amp;sa=X&amp;ved=0ahUKEwjqvpCEtpbUAhUQ0IMKHQOqAVgQ_AUICigB&amp;biw=1366&amp;bih=60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2017-08-28T22:21:00Z</dcterms:created>
  <dcterms:modified xsi:type="dcterms:W3CDTF">2017-08-28T22:21:00Z</dcterms:modified>
</cp:coreProperties>
</file>