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960FEC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96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r w:rsidR="00443D51">
        <w:rPr>
          <w:b/>
          <w:sz w:val="28"/>
          <w:szCs w:val="28"/>
        </w:rPr>
        <w:t>GECDSB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443D51">
        <w:rPr>
          <w:b/>
          <w:sz w:val="28"/>
          <w:szCs w:val="28"/>
        </w:rPr>
        <w:t>Maternelle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443D51">
        <w:rPr>
          <w:b/>
          <w:sz w:val="28"/>
          <w:szCs w:val="28"/>
        </w:rPr>
        <w:t>Éducation Physique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0A7E" w:rsidRDefault="00443D51">
            <w:pPr>
              <w:rPr>
                <w:b/>
              </w:rPr>
            </w:pPr>
            <w:r>
              <w:t>L’</w:t>
            </w:r>
            <w:r w:rsidRPr="00443D51">
              <w:t>Introdu</w:t>
            </w:r>
            <w:r>
              <w:t>ction du</w:t>
            </w:r>
            <w:r w:rsidRPr="00443D51">
              <w:t xml:space="preserve"> concept de codage en bloc à travers </w:t>
            </w:r>
            <w:r>
              <w:t>d’</w:t>
            </w:r>
            <w:r w:rsidRPr="00443D51">
              <w:t>un grand mouvement moteur.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960FEC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443D51" w:rsidRDefault="00443D51" w:rsidP="00443D51">
            <w:r>
              <w:t>7. P</w:t>
            </w:r>
            <w:r>
              <w:t xml:space="preserve">articiper activement et régulièrement </w:t>
            </w:r>
            <w:r>
              <w:t>dans une</w:t>
            </w:r>
            <w:r>
              <w:t xml:space="preserve"> variété d'activités qui nécessitent l'application de concepts de mouvement (SRWB)</w:t>
            </w:r>
          </w:p>
          <w:p w:rsidR="00443D51" w:rsidRDefault="00443D51" w:rsidP="00443D51">
            <w:r>
              <w:t xml:space="preserve">19. </w:t>
            </w:r>
            <w:r>
              <w:t>C</w:t>
            </w:r>
            <w:r>
              <w:t>ollect</w:t>
            </w:r>
            <w:r>
              <w:t>ionner</w:t>
            </w:r>
            <w:r>
              <w:t>, organiser, afficher et interpréter des données pour résoudre des problèmes et communiquer des informations, et explorer le concept de probabilité dans des contextes quotidiens (DLMB)</w:t>
            </w:r>
          </w:p>
          <w:p w:rsidR="007C0A7E" w:rsidRPr="00443D51" w:rsidRDefault="00443D51" w:rsidP="00443D51">
            <w:r>
              <w:t>24. U</w:t>
            </w:r>
            <w:r>
              <w:t>tiliser des compétences technologiques de résolution de problèmes, en soi et avec d'autres, dans le processus de création et de conception (c</w:t>
            </w:r>
            <w:r>
              <w:t>’est</w:t>
            </w:r>
            <w:r>
              <w:t>-à-d</w:t>
            </w:r>
            <w:r>
              <w:t>ire, Le q</w:t>
            </w:r>
            <w:r>
              <w:t xml:space="preserve">uestionnement, </w:t>
            </w:r>
            <w:r>
              <w:t xml:space="preserve">la </w:t>
            </w:r>
            <w:r>
              <w:t xml:space="preserve">planification, </w:t>
            </w:r>
            <w:r>
              <w:t xml:space="preserve">la </w:t>
            </w:r>
            <w:r>
              <w:t xml:space="preserve">construction, </w:t>
            </w:r>
            <w:r>
              <w:t>l’</w:t>
            </w:r>
            <w:r>
              <w:t xml:space="preserve">analyse, </w:t>
            </w:r>
            <w:r>
              <w:t xml:space="preserve">la </w:t>
            </w:r>
            <w:r>
              <w:t xml:space="preserve">redéfinition et </w:t>
            </w:r>
            <w:r>
              <w:t xml:space="preserve">la </w:t>
            </w:r>
            <w:r>
              <w:t>communication) (PSI)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960FEC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443D51" w:rsidRDefault="00443D51" w:rsidP="00443D51">
            <w:r>
              <w:t>7.1 P</w:t>
            </w:r>
            <w:r>
              <w:t>articiper activement au mouvement créatif et à d'autres activité</w:t>
            </w:r>
            <w:r>
              <w:t>s physiques quotidiennes (par exemple, la d</w:t>
            </w:r>
            <w:r>
              <w:t xml:space="preserve">anse, </w:t>
            </w:r>
            <w:r>
              <w:t xml:space="preserve">des </w:t>
            </w:r>
            <w:r>
              <w:t xml:space="preserve">jeux, </w:t>
            </w:r>
            <w:r>
              <w:t>des jeux extérieur</w:t>
            </w:r>
            <w:r>
              <w:t>s)</w:t>
            </w:r>
          </w:p>
          <w:p w:rsidR="00443D51" w:rsidRDefault="00443D51" w:rsidP="00443D51">
            <w:r>
              <w:t>7.2 D</w:t>
            </w:r>
            <w:r>
              <w:t>émontrer sa persistance tout en pratiquant des activités nécessitant l'utilisation de muscles grands et petits (p</w:t>
            </w:r>
            <w:r>
              <w:t>ar</w:t>
            </w:r>
            <w:r>
              <w:t xml:space="preserve"> </w:t>
            </w:r>
            <w:r>
              <w:t>e</w:t>
            </w:r>
            <w:r>
              <w:t>x</w:t>
            </w:r>
            <w:r>
              <w:t>emple, lancer et attraper des balles</w:t>
            </w:r>
            <w:r>
              <w:t xml:space="preserve">, sauter, </w:t>
            </w:r>
            <w:r>
              <w:t>sauter à la corder</w:t>
            </w:r>
            <w:r>
              <w:t>, dessiner)</w:t>
            </w:r>
          </w:p>
          <w:p w:rsidR="00443D51" w:rsidRDefault="00443D51" w:rsidP="00443D51">
            <w:r>
              <w:t xml:space="preserve">19.3 </w:t>
            </w:r>
            <w:r>
              <w:t>R</w:t>
            </w:r>
            <w:r>
              <w:t xml:space="preserve">épondre à et poser des questions sur la collecte de données et les </w:t>
            </w:r>
            <w:r>
              <w:t>diagrammes</w:t>
            </w:r>
          </w:p>
          <w:p w:rsidR="00443D51" w:rsidRDefault="00443D51" w:rsidP="00443D51">
            <w:r>
              <w:t>24.2 É</w:t>
            </w:r>
            <w:r>
              <w:t>noncer des problèmes et poser des questions dans le cadre du processus de création et de conception</w:t>
            </w:r>
          </w:p>
          <w:p w:rsidR="007C0A7E" w:rsidRPr="00443D51" w:rsidRDefault="00443D51" w:rsidP="00443D51">
            <w:r>
              <w:t>24.3 F</w:t>
            </w:r>
            <w:r>
              <w:t>aire des prédictions et des observations dans le cadre du processus de création et de conception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960FEC">
            <w:r>
              <w:t>“On apprend à…”</w:t>
            </w:r>
          </w:p>
          <w:p w:rsidR="00A82F5C" w:rsidRDefault="00A82F5C" w:rsidP="00A82F5C">
            <w:pPr>
              <w:pStyle w:val="ListParagraph"/>
              <w:numPr>
                <w:ilvl w:val="0"/>
                <w:numId w:val="3"/>
              </w:numPr>
            </w:pPr>
            <w:r>
              <w:t xml:space="preserve">Lire le </w:t>
            </w:r>
            <w:r>
              <w:t>codage de bloc</w:t>
            </w:r>
          </w:p>
          <w:p w:rsidR="00A82F5C" w:rsidRDefault="00A82F5C" w:rsidP="00A82F5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>
              <w:t>rédire où le code nous envoie</w:t>
            </w:r>
          </w:p>
          <w:p w:rsidR="007C0A7E" w:rsidRPr="00A82F5C" w:rsidRDefault="00A82F5C" w:rsidP="00A82F5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</w:t>
            </w:r>
            <w:r>
              <w:t>once</w:t>
            </w:r>
            <w:r>
              <w:t>voir du codage q</w:t>
            </w:r>
            <w:r>
              <w:t>ui répond à un défi spécifique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960FEC">
            <w:r>
              <w:t>“On va avoir du succès quand…”</w:t>
            </w:r>
          </w:p>
          <w:p w:rsidR="00A82F5C" w:rsidRDefault="00A82F5C" w:rsidP="00A82F5C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>
              <w:t>éplacer nos corps le long du chemin indiqué dans le code de bloc</w:t>
            </w:r>
          </w:p>
          <w:p w:rsidR="00A82F5C" w:rsidRDefault="00A82F5C" w:rsidP="00A82F5C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>
              <w:t>evinez où nous sortirons de la grille</w:t>
            </w:r>
          </w:p>
          <w:p w:rsidR="007C0A7E" w:rsidRPr="00A82F5C" w:rsidRDefault="00A82F5C" w:rsidP="00A82F5C">
            <w:pPr>
              <w:pStyle w:val="ListParagraph"/>
              <w:numPr>
                <w:ilvl w:val="0"/>
                <w:numId w:val="3"/>
              </w:numPr>
            </w:pPr>
            <w:r>
              <w:t>On p</w:t>
            </w:r>
            <w:r>
              <w:t>eut choisir une place sur la grille que nous voulons atteindre et faire un code pour le faire</w:t>
            </w:r>
          </w:p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7C0A7E" w:rsidRDefault="00A82F5C">
            <w:r w:rsidRPr="00A82F5C">
              <w:t>Au cours de l'éducation physique dans le gymnase, les étudiant</w:t>
            </w:r>
            <w:r w:rsidR="0030499F">
              <w:t>(e)</w:t>
            </w:r>
            <w:bookmarkStart w:id="1" w:name="_GoBack"/>
            <w:bookmarkEnd w:id="1"/>
            <w:r w:rsidRPr="00A82F5C">
              <w:t>s seront initiés aux bases du codage en bloc en utilisant de grandes flèches et une grille faite de cerceaux.</w:t>
            </w:r>
          </w:p>
          <w:p w:rsidR="00A82F5C" w:rsidRDefault="00A82F5C"/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7C0A7E" w:rsidRDefault="00A82F5C" w:rsidP="00A82F5C">
            <w:pPr>
              <w:pStyle w:val="ListParagraph"/>
              <w:numPr>
                <w:ilvl w:val="0"/>
                <w:numId w:val="4"/>
              </w:numPr>
            </w:pPr>
            <w:r>
              <w:t xml:space="preserve">Plusieurs cerceaux de couleurs différentes </w:t>
            </w:r>
          </w:p>
          <w:p w:rsidR="007C0A7E" w:rsidRDefault="00A82F5C" w:rsidP="00A82F5C">
            <w:pPr>
              <w:pStyle w:val="ListParagraph"/>
              <w:numPr>
                <w:ilvl w:val="0"/>
                <w:numId w:val="4"/>
              </w:numPr>
            </w:pPr>
            <w:r>
              <w:t>Des grandes cartes de flèche directionnelles (gauche, droite, toute droite)</w:t>
            </w:r>
          </w:p>
          <w:p w:rsidR="007C0A7E" w:rsidRDefault="007C0A7E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3F11E8" w:rsidRDefault="003F11E8" w:rsidP="003F11E8">
            <w:r>
              <w:t xml:space="preserve">• Les élèves se déplacent à leur propre rythme et à leurs propres capacités (s'ils ne peuvent pas sauter sur un pied, </w:t>
            </w:r>
            <w:r>
              <w:t>ils peuvent sauter sur deux pieds</w:t>
            </w:r>
            <w:r>
              <w:t>).</w:t>
            </w:r>
          </w:p>
          <w:p w:rsidR="003F11E8" w:rsidRDefault="003F11E8" w:rsidP="003F11E8">
            <w:r>
              <w:t xml:space="preserve">• Les flèches seront grandes, donc elles sont faciles </w:t>
            </w:r>
            <w:r>
              <w:t>à voir et à manipuler par les étudiant(e)s</w:t>
            </w:r>
            <w:r>
              <w:t>.</w:t>
            </w:r>
          </w:p>
          <w:p w:rsidR="007C0A7E" w:rsidRDefault="003F11E8" w:rsidP="003F11E8">
            <w:pPr>
              <w:rPr>
                <w:b/>
              </w:rPr>
            </w:pPr>
            <w:r>
              <w:t>• limiter la longueur des codes que les élèves conçoivent afin qu'ils ne soient pas trop compliqués à suivre (3-5 cartes).</w:t>
            </w: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191C45" w:rsidRDefault="00191C45" w:rsidP="00191C45">
            <w:r>
              <w:t>• La leçon sera suffisamment ouverte pour permettre à plusieurs points d'entrée de créer un code simple.</w:t>
            </w:r>
          </w:p>
          <w:p w:rsidR="00191C45" w:rsidRDefault="00191C45" w:rsidP="00191C45">
            <w:r>
              <w:t>• L'utilisation de flèches permet aux élèves ay</w:t>
            </w:r>
            <w:r>
              <w:t>ant un langage limité</w:t>
            </w:r>
            <w:r>
              <w:t xml:space="preserve"> de participer.</w:t>
            </w:r>
          </w:p>
          <w:p w:rsidR="007C0A7E" w:rsidRPr="00191C45" w:rsidRDefault="00191C45" w:rsidP="00191C45">
            <w:r>
              <w:t>• les élèves seront soutenus dans la conception du code et dans la progression de la grille.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Interroger le professeur et ses ca</w:t>
            </w:r>
            <w:r>
              <w:rPr>
                <w:color w:val="000000"/>
              </w:rPr>
              <w:t xml:space="preserve">marades de classe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960F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C0A7E" w:rsidRDefault="007C0A7E">
            <w:pPr>
              <w:rPr>
                <w:b/>
              </w:rPr>
            </w:pPr>
          </w:p>
          <w:p w:rsidR="00191C45" w:rsidRPr="00191C45" w:rsidRDefault="00191C45" w:rsidP="00191C45">
            <w:pPr>
              <w:rPr>
                <w:color w:val="000000"/>
              </w:rPr>
            </w:pPr>
            <w:r>
              <w:rPr>
                <w:color w:val="000000"/>
              </w:rPr>
              <w:t>• S</w:t>
            </w:r>
            <w:r w:rsidRPr="00191C45">
              <w:rPr>
                <w:color w:val="000000"/>
              </w:rPr>
              <w:t xml:space="preserve">uivre </w:t>
            </w:r>
            <w:r>
              <w:rPr>
                <w:color w:val="000000"/>
              </w:rPr>
              <w:t xml:space="preserve">un échauffement régulier </w:t>
            </w:r>
          </w:p>
          <w:p w:rsidR="00191C45" w:rsidRPr="00191C45" w:rsidRDefault="00191C45" w:rsidP="00191C45">
            <w:pPr>
              <w:rPr>
                <w:color w:val="000000"/>
              </w:rPr>
            </w:pPr>
            <w:r>
              <w:rPr>
                <w:color w:val="000000"/>
              </w:rPr>
              <w:t>• Jouez « </w:t>
            </w:r>
            <w:r w:rsidRPr="00191C45">
              <w:rPr>
                <w:color w:val="000000"/>
              </w:rPr>
              <w:t xml:space="preserve">Robot </w:t>
            </w:r>
            <w:proofErr w:type="spellStart"/>
            <w:r w:rsidRPr="00191C45">
              <w:rPr>
                <w:color w:val="000000"/>
              </w:rPr>
              <w:t>Freeze</w:t>
            </w:r>
            <w:proofErr w:type="spellEnd"/>
            <w:r>
              <w:rPr>
                <w:color w:val="000000"/>
              </w:rPr>
              <w:t xml:space="preserve"> Tag »</w:t>
            </w:r>
            <w:r w:rsidRPr="00191C45">
              <w:rPr>
                <w:color w:val="000000"/>
              </w:rPr>
              <w:t>: La plupart des élèves courront autour du gymnase pour éviter les 2-3 taggers. Si le tag</w:t>
            </w:r>
            <w:r w:rsidR="008658E7">
              <w:rPr>
                <w:color w:val="000000"/>
              </w:rPr>
              <w:t>ge</w:t>
            </w:r>
            <w:r w:rsidRPr="00191C45">
              <w:rPr>
                <w:color w:val="000000"/>
              </w:rPr>
              <w:t xml:space="preserve">r vous attrape, il vous </w:t>
            </w:r>
            <w:r w:rsidR="008658E7">
              <w:rPr>
                <w:color w:val="000000"/>
              </w:rPr>
              <w:t>donne</w:t>
            </w:r>
            <w:r w:rsidRPr="00191C45">
              <w:rPr>
                <w:color w:val="000000"/>
              </w:rPr>
              <w:t xml:space="preserve"> un «virus informatique» et vous devez rester sur place et marcher comme un robot. L</w:t>
            </w:r>
            <w:r w:rsidR="008658E7">
              <w:rPr>
                <w:color w:val="000000"/>
              </w:rPr>
              <w:t>es « </w:t>
            </w:r>
            <w:r w:rsidRPr="00191C45">
              <w:rPr>
                <w:color w:val="000000"/>
              </w:rPr>
              <w:t>robots</w:t>
            </w:r>
            <w:r w:rsidR="008658E7">
              <w:rPr>
                <w:color w:val="000000"/>
              </w:rPr>
              <w:t> »</w:t>
            </w:r>
            <w:r w:rsidRPr="00191C45">
              <w:rPr>
                <w:color w:val="000000"/>
              </w:rPr>
              <w:t xml:space="preserve"> continuent de marc</w:t>
            </w:r>
            <w:r w:rsidR="008658E7">
              <w:rPr>
                <w:color w:val="000000"/>
              </w:rPr>
              <w:t>her sur place jusqu'à ce qu'un « </w:t>
            </w:r>
            <w:r w:rsidRPr="00191C45">
              <w:rPr>
                <w:color w:val="000000"/>
              </w:rPr>
              <w:t>programmeur</w:t>
            </w:r>
            <w:r w:rsidR="008658E7">
              <w:rPr>
                <w:color w:val="000000"/>
              </w:rPr>
              <w:t> »</w:t>
            </w:r>
            <w:r w:rsidRPr="00191C45">
              <w:rPr>
                <w:color w:val="000000"/>
              </w:rPr>
              <w:t xml:space="preserve"> (2 étudiant</w:t>
            </w:r>
            <w:r w:rsidR="008658E7">
              <w:rPr>
                <w:color w:val="000000"/>
              </w:rPr>
              <w:t>(e)s) vienne et « entre »</w:t>
            </w:r>
            <w:r w:rsidRPr="00191C45">
              <w:rPr>
                <w:color w:val="000000"/>
              </w:rPr>
              <w:t xml:space="preserve"> un</w:t>
            </w:r>
            <w:r w:rsidR="008658E7">
              <w:rPr>
                <w:color w:val="000000"/>
              </w:rPr>
              <w:t xml:space="preserve"> nouveau code (appuyer sur les « boutons » sur le dos du « robot »). Maintenant, le « robot »</w:t>
            </w:r>
            <w:r w:rsidRPr="00191C45">
              <w:rPr>
                <w:color w:val="000000"/>
              </w:rPr>
              <w:t xml:space="preserve"> est libre de se déplacer à nouveau.</w:t>
            </w:r>
          </w:p>
          <w:p w:rsidR="00191C45" w:rsidRPr="00191C45" w:rsidRDefault="008658E7" w:rsidP="00191C45">
            <w:pPr>
              <w:rPr>
                <w:color w:val="000000"/>
              </w:rPr>
            </w:pPr>
            <w:r>
              <w:rPr>
                <w:color w:val="000000"/>
              </w:rPr>
              <w:t>• À la fin du jeu, d</w:t>
            </w:r>
            <w:r w:rsidR="00191C45" w:rsidRPr="00191C45">
              <w:rPr>
                <w:color w:val="000000"/>
              </w:rPr>
              <w:t xml:space="preserve">emander </w:t>
            </w:r>
            <w:r>
              <w:rPr>
                <w:color w:val="000000"/>
              </w:rPr>
              <w:t xml:space="preserve">les élèves </w:t>
            </w:r>
            <w:r w:rsidR="00191C45" w:rsidRPr="00191C45">
              <w:rPr>
                <w:color w:val="000000"/>
              </w:rPr>
              <w:t>comment les robots savent quoi faire. Amenez la conversation à l'idée de raconter ou de programmer des instructions pour les robots à l'aide du code.</w:t>
            </w:r>
          </w:p>
          <w:p w:rsidR="007C0A7E" w:rsidRDefault="00191C45" w:rsidP="00191C45">
            <w:pPr>
              <w:rPr>
                <w:b/>
              </w:rPr>
            </w:pPr>
            <w:r w:rsidRPr="00191C45">
              <w:rPr>
                <w:color w:val="000000"/>
              </w:rPr>
              <w:t>• Montrez aux élèves les cartes en forme de flèche et expliquez ce que chacun veut dire (en avant / en arrière, tournez à droite, to</w:t>
            </w:r>
            <w:r w:rsidR="008658E7">
              <w:rPr>
                <w:color w:val="000000"/>
              </w:rPr>
              <w:t xml:space="preserve">urnez à gauche). Mettez 3 flèches </w:t>
            </w:r>
            <w:r w:rsidR="008658E7">
              <w:rPr>
                <w:b/>
                <w:color w:val="000000"/>
              </w:rPr>
              <w:t xml:space="preserve">toute </w:t>
            </w:r>
            <w:proofErr w:type="gramStart"/>
            <w:r w:rsidR="008658E7">
              <w:rPr>
                <w:b/>
                <w:color w:val="000000"/>
              </w:rPr>
              <w:t>droite</w:t>
            </w:r>
            <w:proofErr w:type="gramEnd"/>
            <w:r w:rsidR="007A1412">
              <w:rPr>
                <w:b/>
                <w:color w:val="000000"/>
              </w:rPr>
              <w:t xml:space="preserve"> </w:t>
            </w:r>
            <w:r w:rsidR="007A1412" w:rsidRPr="007A1412">
              <w:rPr>
                <w:color w:val="000000"/>
              </w:rPr>
              <w:t>(en avant)</w:t>
            </w:r>
            <w:r w:rsidRPr="00191C45">
              <w:rPr>
                <w:color w:val="000000"/>
              </w:rPr>
              <w:t xml:space="preserve"> dans une rangée et demandez à un volontaire de montrer comment le suivre en sautillant en ligne droite 3 fois. Essayez encore plusieurs fois avec différents volontaires chaque fois que vous ajoutez ou changez une carte. Observez leurs mouvements </w:t>
            </w:r>
            <w:r w:rsidR="008658E7">
              <w:rPr>
                <w:color w:val="000000"/>
              </w:rPr>
              <w:t>et demandez aux élèves</w:t>
            </w:r>
            <w:r w:rsidRPr="00191C45">
              <w:rPr>
                <w:color w:val="000000"/>
              </w:rPr>
              <w:t xml:space="preserve"> de donner un «coup de pouce» si le bénévole l'a. S'il y a des «pouces vers le bas», discutez ouvertement de la façon de corriger leurs mouvements, que doivent-ils faire pour suivre les flèches? Une fois qu'il est clair qu'ils comprennent, passez à la clé de basketball et demandez-leur de s'asseoir sur le bord.</w:t>
            </w:r>
          </w:p>
          <w:p w:rsidR="007C0A7E" w:rsidRDefault="007C0A7E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Clarifier les idées fausses, en redirigeant les élèves par questionnement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représenter leur pensée de façon concrèt</w:t>
            </w:r>
            <w:r>
              <w:rPr>
                <w:color w:val="000000"/>
              </w:rPr>
              <w:t xml:space="preserve">e et / ou avec des dessins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des actions, etc.) ;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</w:t>
            </w:r>
            <w:r>
              <w:rPr>
                <w:color w:val="000000"/>
              </w:rPr>
              <w:t xml:space="preserve"> ;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960FEC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B1194B" w:rsidRDefault="00960F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Décrivez les tâches dans lesquelles vos élèves seront engagés. </w:t>
            </w:r>
          </w:p>
          <w:p w:rsidR="00B1194B" w:rsidRDefault="00B1194B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 w:rsidRPr="00B1194B">
              <w:rPr>
                <w:color w:val="000000"/>
              </w:rPr>
              <w:t>uand ils sont assis, placez des cerceaux dans la clé</w:t>
            </w:r>
            <w:r w:rsidR="00AB39E5">
              <w:rPr>
                <w:color w:val="000000"/>
              </w:rPr>
              <w:t xml:space="preserve"> de basketball</w:t>
            </w:r>
            <w:r w:rsidRPr="00B1194B">
              <w:rPr>
                <w:color w:val="000000"/>
              </w:rPr>
              <w:t xml:space="preserve"> pour qu'ils forment une grille (3x4, 4x4, 5x5,</w:t>
            </w:r>
            <w:r>
              <w:rPr>
                <w:color w:val="000000"/>
              </w:rPr>
              <w:t xml:space="preserve"> etc.). Commencez par placer 3 à 4</w:t>
            </w:r>
            <w:r w:rsidRPr="00B1194B">
              <w:rPr>
                <w:color w:val="000000"/>
              </w:rPr>
              <w:t xml:space="preserve"> flèches dans des cerceaux et </w:t>
            </w:r>
            <w:r w:rsidR="00F91180">
              <w:rPr>
                <w:color w:val="000000"/>
              </w:rPr>
              <w:t>marcher le long du « </w:t>
            </w:r>
            <w:r w:rsidRPr="00B1194B">
              <w:rPr>
                <w:color w:val="000000"/>
              </w:rPr>
              <w:t>chemin</w:t>
            </w:r>
            <w:r w:rsidR="00F91180">
              <w:rPr>
                <w:color w:val="000000"/>
              </w:rPr>
              <w:t> »</w:t>
            </w:r>
            <w:r w:rsidRPr="00B1194B">
              <w:rPr>
                <w:color w:val="000000"/>
              </w:rPr>
              <w:t xml:space="preserve"> en vous déplaçant dans la direction indiquée par les cartes. Pendant que l'enseignant</w:t>
            </w:r>
            <w:r w:rsidR="00F91180">
              <w:rPr>
                <w:color w:val="000000"/>
              </w:rPr>
              <w:t>(e)</w:t>
            </w:r>
            <w:r w:rsidRPr="00B1194B">
              <w:rPr>
                <w:color w:val="000000"/>
              </w:rPr>
              <w:t xml:space="preserve"> parcourt la grille, il devrait lire le code de la flèche en prononçant les mots «en avant</w:t>
            </w:r>
            <w:r w:rsidR="00F91180">
              <w:rPr>
                <w:color w:val="000000"/>
              </w:rPr>
              <w:t xml:space="preserve"> (toute droite)</w:t>
            </w:r>
            <w:r w:rsidRPr="00B1194B">
              <w:rPr>
                <w:color w:val="000000"/>
              </w:rPr>
              <w:t>, en arrière, tourner à droite, tourner à gauche». Invitez les élèves à essayer de marcher sur le «chemin». Maintenant, demandez-leur de s'asseoir le long du mur et placez les cartes dans le mêm</w:t>
            </w:r>
            <w:r w:rsidR="00F91180">
              <w:rPr>
                <w:color w:val="000000"/>
              </w:rPr>
              <w:t>e ordre à côté de la grille. L’enseignant(e)</w:t>
            </w:r>
            <w:r w:rsidRPr="00B1194B">
              <w:rPr>
                <w:color w:val="000000"/>
              </w:rPr>
              <w:t xml:space="preserve"> choisit le même cerceau que nous avons commencé et montre comment marcher les flèches. (répé</w:t>
            </w:r>
            <w:r w:rsidR="00F91180">
              <w:rPr>
                <w:color w:val="000000"/>
              </w:rPr>
              <w:t>tant chaque carte à haute voix, « </w:t>
            </w:r>
            <w:r w:rsidRPr="00B1194B">
              <w:rPr>
                <w:color w:val="000000"/>
              </w:rPr>
              <w:t>Ai-je arrêté dans le même cerceau? ») Demandez aux élèves de l'essayer.</w:t>
            </w:r>
          </w:p>
          <w:p w:rsidR="00F91180" w:rsidRDefault="00F91180">
            <w:pPr>
              <w:rPr>
                <w:color w:val="000000"/>
              </w:rPr>
            </w:pPr>
          </w:p>
          <w:p w:rsidR="00F91180" w:rsidRPr="00B1194B" w:rsidRDefault="00F91180">
            <w:pPr>
              <w:rPr>
                <w:color w:val="000000"/>
              </w:rPr>
            </w:pPr>
            <w:r w:rsidRPr="00F91180">
              <w:rPr>
                <w:color w:val="000000"/>
              </w:rPr>
              <w:t xml:space="preserve">Invitez les élèves à concevoir un code pour la classe. Ils peuvent aligner 3-6 cartes à côté de la grille qui est déjà faite. Demandez-leur de démontrer leur code et demandez à la classe de donner un «coup de pouce» si le «programmeur» l'a bien suivi. Si nécessaire, faites des ajustements jusqu'à ce que la classe ait lu le code avec précision. </w:t>
            </w:r>
            <w:r>
              <w:rPr>
                <w:color w:val="000000"/>
              </w:rPr>
              <w:t>Les élèves forment une ligne</w:t>
            </w:r>
            <w:r w:rsidRPr="00F911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Dites, « </w:t>
            </w:r>
            <w:r w:rsidRPr="00F91180">
              <w:rPr>
                <w:color w:val="000000"/>
              </w:rPr>
              <w:t>Lorsque la musique commence, vous pouvez suivre la ligne à travers le code. Quand vous arrivez à la fin, sautez hors de la grille et revenez au départ. Une fois la musique arrêtée, asseyez-vous le long du mur et nous program</w:t>
            </w:r>
            <w:r>
              <w:rPr>
                <w:color w:val="000000"/>
              </w:rPr>
              <w:t>merons un nouveau code à suivre »</w:t>
            </w:r>
            <w:r w:rsidRPr="00F91180">
              <w:rPr>
                <w:color w:val="000000"/>
              </w:rPr>
              <w:t>. L'enseignant</w:t>
            </w:r>
            <w:r>
              <w:rPr>
                <w:color w:val="000000"/>
              </w:rPr>
              <w:t>(e)</w:t>
            </w:r>
            <w:r w:rsidRPr="00F91180">
              <w:rPr>
                <w:color w:val="000000"/>
              </w:rPr>
              <w:t xml:space="preserve"> peut modifier la façon dont la classe se déplace dans la grille (marche, saut, pas du robot, etc.). L'enseignant</w:t>
            </w:r>
            <w:r>
              <w:rPr>
                <w:color w:val="000000"/>
              </w:rPr>
              <w:t>(e)</w:t>
            </w:r>
            <w:r w:rsidRPr="00F91180">
              <w:rPr>
                <w:color w:val="000000"/>
              </w:rPr>
              <w:t xml:space="preserve"> peut également ajouter des défis pour terminer le code afin que nous atterrissions dans un cercle de couleur spécifique ou que nous sortions d'une partie spécifique de la grille. L'enseignant</w:t>
            </w:r>
            <w:r>
              <w:rPr>
                <w:color w:val="000000"/>
              </w:rPr>
              <w:t>(e)</w:t>
            </w:r>
            <w:r w:rsidRPr="00F91180">
              <w:rPr>
                <w:color w:val="000000"/>
              </w:rPr>
              <w:t xml:space="preserve"> peut également demander aux élèves de prédire le cerceau dans lequel le code se terminera.</w:t>
            </w:r>
          </w:p>
          <w:p w:rsidR="00B1194B" w:rsidRDefault="00B1194B">
            <w:pPr>
              <w:rPr>
                <w:b/>
                <w:color w:val="000000"/>
              </w:rPr>
            </w:pPr>
          </w:p>
          <w:p w:rsidR="007C0A7E" w:rsidRDefault="00960F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7C0A7E" w:rsidRPr="00B1194B" w:rsidRDefault="00B1194B">
            <w:r>
              <w:t>Ça se peut que les élèves bougent autour du gymnase au hasard, sans comprendre quoi faire. Si cela arrive, arrête l’activité et commence de nouveau avec la démonstration.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960F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7C0A7E" w:rsidRPr="00B1194B" w:rsidRDefault="00B1194B">
            <w:r>
              <w:t xml:space="preserve">Car </w:t>
            </w:r>
            <w:r w:rsidRPr="00B1194B">
              <w:t>Ils peuvent créer un code simple avec les grandes flèches, puis se déplacer dans la grille de</w:t>
            </w:r>
            <w:r>
              <w:t xml:space="preserve"> cerceaux (</w:t>
            </w:r>
            <w:proofErr w:type="spellStart"/>
            <w:r w:rsidRPr="00B1194B">
              <w:t>hula</w:t>
            </w:r>
            <w:proofErr w:type="spellEnd"/>
            <w:r w:rsidRPr="00B1194B">
              <w:t xml:space="preserve"> </w:t>
            </w:r>
            <w:proofErr w:type="spellStart"/>
            <w:r w:rsidRPr="00B1194B">
              <w:t>hoop</w:t>
            </w:r>
            <w:proofErr w:type="spellEnd"/>
            <w:r>
              <w:t>)</w:t>
            </w:r>
            <w:r w:rsidRPr="00B1194B">
              <w:t xml:space="preserve"> en le lisant.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960F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7C0A7E" w:rsidRDefault="00B1194B">
            <w:pPr>
              <w:rPr>
                <w:b/>
                <w:color w:val="000000"/>
              </w:rPr>
            </w:pPr>
            <w:r>
              <w:t xml:space="preserve">Avec l’aide de photos, </w:t>
            </w:r>
            <w:r w:rsidR="00AB39E5">
              <w:t xml:space="preserve">en </w:t>
            </w:r>
            <w:r>
              <w:t>ajoutant des notes anecdotes plus tard.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960FE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7C0A7E" w:rsidRDefault="00B1194B" w:rsidP="00AB39E5">
            <w:pPr>
              <w:rPr>
                <w:b/>
              </w:rPr>
            </w:pPr>
            <w:r>
              <w:t xml:space="preserve">La prochaine fois, les élèves utiliseront des </w:t>
            </w:r>
            <w:proofErr w:type="spellStart"/>
            <w:r>
              <w:t>BeeBots</w:t>
            </w:r>
            <w:proofErr w:type="spellEnd"/>
            <w:r>
              <w:t>.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960FEC">
            <w:pPr>
              <w:rPr>
                <w:b/>
              </w:rPr>
            </w:pPr>
            <w:r>
              <w:rPr>
                <w:b/>
              </w:rPr>
              <w:lastRenderedPageBreak/>
              <w:t>CONSOLIDATION</w:t>
            </w:r>
            <w:proofErr w:type="gramStart"/>
            <w:r>
              <w:rPr>
                <w:b/>
              </w:rPr>
              <w:t>:  Réflexion</w:t>
            </w:r>
            <w:proofErr w:type="gramEnd"/>
            <w:r>
              <w:rPr>
                <w:b/>
              </w:rPr>
              <w:t xml:space="preserve">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Relier des</w:t>
            </w:r>
            <w:r>
              <w:rPr>
                <w:color w:val="000000"/>
              </w:rPr>
              <w:t xml:space="preserve"> stratégies et des solutions à des types de problèmes similaires afin d'aider les élèves à généraliser les concepts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</w:t>
            </w:r>
            <w:r>
              <w:rPr>
                <w:color w:val="000000"/>
              </w:rPr>
              <w:t xml:space="preserve">rtager leurs découvertes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96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AB39E5" w:rsidRPr="00AB39E5" w:rsidRDefault="00AB39E5" w:rsidP="00AB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AB39E5">
              <w:rPr>
                <w:color w:val="000000"/>
              </w:rPr>
              <w:t>À la fin de la période, demandez aux élèves ce qui était facile / ce qui était difficile de suivre les codes.</w:t>
            </w:r>
          </w:p>
          <w:p w:rsidR="007C0A7E" w:rsidRDefault="00AB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AB39E5">
              <w:rPr>
                <w:color w:val="000000"/>
              </w:rPr>
              <w:t>Dites aux élèves que le lendemain, en classe, nous aurons l'occasion de dire aux vrais robots quoi faire et comment bouger comme nous l'avons fait aujourd'hui.</w:t>
            </w:r>
          </w:p>
          <w:p w:rsidR="007C0A7E" w:rsidRDefault="007C0A7E">
            <w:pPr>
              <w:rPr>
                <w:b/>
              </w:rPr>
            </w:pPr>
          </w:p>
        </w:tc>
      </w:tr>
    </w:tbl>
    <w:p w:rsidR="00AB39E5" w:rsidRDefault="00AB39E5"/>
    <w:p w:rsidR="00AB39E5" w:rsidRPr="00AB39E5" w:rsidRDefault="00AB39E5" w:rsidP="00AB39E5"/>
    <w:p w:rsidR="00AB39E5" w:rsidRPr="00AB39E5" w:rsidRDefault="00AB39E5" w:rsidP="00AB39E5"/>
    <w:p w:rsidR="00AB39E5" w:rsidRDefault="00AB39E5" w:rsidP="00AB39E5"/>
    <w:p w:rsidR="00AB39E5" w:rsidRDefault="00AB39E5" w:rsidP="00AB39E5">
      <w:pPr>
        <w:tabs>
          <w:tab w:val="left" w:pos="954"/>
          <w:tab w:val="left" w:pos="5542"/>
        </w:tabs>
      </w:pPr>
      <w:r>
        <w:tab/>
      </w:r>
      <w:r>
        <w:rPr>
          <w:noProof/>
          <w:color w:val="000000"/>
          <w:lang w:val="en-CA"/>
        </w:rPr>
        <w:drawing>
          <wp:inline distT="0" distB="0" distL="0" distR="0" wp14:anchorId="63EC4E4F" wp14:editId="7B852269">
            <wp:extent cx="2143125" cy="214312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00"/>
          <w:lang w:val="en-CA"/>
        </w:rPr>
        <w:drawing>
          <wp:inline distT="0" distB="0" distL="0" distR="0" wp14:anchorId="08FA052F" wp14:editId="7AA5941E">
            <wp:extent cx="2143125" cy="214312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39E5" w:rsidRPr="00AB39E5" w:rsidRDefault="00AB39E5" w:rsidP="00AB39E5"/>
    <w:p w:rsidR="007C0A7E" w:rsidRPr="00AB39E5" w:rsidRDefault="00AB39E5" w:rsidP="00AB39E5">
      <w:pPr>
        <w:tabs>
          <w:tab w:val="left" w:pos="2227"/>
        </w:tabs>
      </w:pPr>
      <w:r>
        <w:lastRenderedPageBreak/>
        <w:tab/>
      </w:r>
      <w:r>
        <w:rPr>
          <w:noProof/>
          <w:color w:val="000000"/>
          <w:lang w:val="en-CA"/>
        </w:rPr>
        <w:drawing>
          <wp:inline distT="0" distB="0" distL="0" distR="0" wp14:anchorId="50F9F736" wp14:editId="208DA80A">
            <wp:extent cx="2143125" cy="2143125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C0A7E" w:rsidRPr="00AB39E5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EC" w:rsidRDefault="00960FEC">
      <w:pPr>
        <w:spacing w:after="0" w:line="240" w:lineRule="auto"/>
      </w:pPr>
      <w:r>
        <w:separator/>
      </w:r>
    </w:p>
  </w:endnote>
  <w:endnote w:type="continuationSeparator" w:id="0">
    <w:p w:rsidR="00960FEC" w:rsidRDefault="0096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E" w:rsidRDefault="00960F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EC" w:rsidRDefault="00960FEC">
      <w:pPr>
        <w:spacing w:after="0" w:line="240" w:lineRule="auto"/>
      </w:pPr>
      <w:r>
        <w:separator/>
      </w:r>
    </w:p>
  </w:footnote>
  <w:footnote w:type="continuationSeparator" w:id="0">
    <w:p w:rsidR="00960FEC" w:rsidRDefault="0096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E" w:rsidRDefault="00960F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224A5">
      <w:rPr>
        <w:color w:val="000000"/>
      </w:rPr>
      <w:fldChar w:fldCharType="separate"/>
    </w:r>
    <w:r w:rsidR="0030499F">
      <w:rPr>
        <w:noProof/>
        <w:color w:val="000000"/>
      </w:rPr>
      <w:t>2</w:t>
    </w:r>
    <w:r>
      <w:rPr>
        <w:color w:val="000000"/>
      </w:rPr>
      <w:fldChar w:fldCharType="end"/>
    </w:r>
  </w:p>
  <w:p w:rsidR="007C0A7E" w:rsidRDefault="007C0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E9"/>
    <w:multiLevelType w:val="hybridMultilevel"/>
    <w:tmpl w:val="82DA441E"/>
    <w:lvl w:ilvl="0" w:tplc="353CAFE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A67DF2"/>
    <w:multiLevelType w:val="hybridMultilevel"/>
    <w:tmpl w:val="7FC07928"/>
    <w:lvl w:ilvl="0" w:tplc="E9108E60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A7E"/>
    <w:rsid w:val="00191C45"/>
    <w:rsid w:val="0030499F"/>
    <w:rsid w:val="003F11E8"/>
    <w:rsid w:val="00443D51"/>
    <w:rsid w:val="007A1412"/>
    <w:rsid w:val="007C0A7E"/>
    <w:rsid w:val="008658E7"/>
    <w:rsid w:val="00960FEC"/>
    <w:rsid w:val="00A82F5C"/>
    <w:rsid w:val="00AB39E5"/>
    <w:rsid w:val="00B1194B"/>
    <w:rsid w:val="00B224A5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8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8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7</cp:revision>
  <dcterms:created xsi:type="dcterms:W3CDTF">2018-06-18T23:56:00Z</dcterms:created>
  <dcterms:modified xsi:type="dcterms:W3CDTF">2018-06-19T01:00:00Z</dcterms:modified>
</cp:coreProperties>
</file>