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 xml:space="preserve">Huron Superior </w:t>
      </w:r>
      <w:proofErr w:type="spellStart"/>
      <w:r w:rsidR="00E96A30">
        <w:rPr>
          <w:b/>
          <w:sz w:val="28"/>
          <w:szCs w:val="28"/>
        </w:rPr>
        <w:t>Catholic</w:t>
      </w:r>
      <w:proofErr w:type="spellEnd"/>
      <w:r w:rsidR="00E96A30">
        <w:rPr>
          <w:b/>
          <w:sz w:val="28"/>
          <w:szCs w:val="28"/>
        </w:rPr>
        <w:t xml:space="preserve"> DSB</w:t>
      </w:r>
    </w:p>
    <w:p w:rsidR="007C0A7E" w:rsidRPr="00C16851" w:rsidRDefault="00B224A5">
      <w:pPr>
        <w:jc w:val="center"/>
        <w:rPr>
          <w:b/>
          <w:sz w:val="28"/>
          <w:szCs w:val="28"/>
        </w:rPr>
      </w:pPr>
      <w:r>
        <w:rPr>
          <w:b/>
          <w:sz w:val="28"/>
          <w:szCs w:val="28"/>
        </w:rPr>
        <w:t xml:space="preserve">Année(s): </w:t>
      </w:r>
      <w:r w:rsidR="00E96A30">
        <w:rPr>
          <w:b/>
          <w:sz w:val="28"/>
          <w:szCs w:val="28"/>
        </w:rPr>
        <w:t>4</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p>
    <w:p w:rsidR="007C0A7E" w:rsidRPr="00E96A30" w:rsidRDefault="00B224A5" w:rsidP="004D7CCF">
      <w:pPr>
        <w:ind w:left="720"/>
        <w:jc w:val="center"/>
        <w:rPr>
          <w:b/>
          <w:sz w:val="28"/>
          <w:szCs w:val="28"/>
        </w:rPr>
      </w:pPr>
      <w:r>
        <w:rPr>
          <w:b/>
          <w:sz w:val="28"/>
          <w:szCs w:val="28"/>
        </w:rPr>
        <w:t xml:space="preserve">Sujet: </w:t>
      </w:r>
      <w:r w:rsidR="00E96A30">
        <w:rPr>
          <w:b/>
          <w:sz w:val="28"/>
          <w:szCs w:val="28"/>
        </w:rPr>
        <w:t>Les études sociales – construire une catapulte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A5096B" w:rsidRDefault="00E96A30" w:rsidP="007C1C0A">
            <w:r w:rsidRPr="00E96A30">
              <w:t>En étudiant le passé, nous pouvons mieux comprendre le présent. Dans cette leçon, les élèves créeront une catapulte.</w:t>
            </w:r>
            <w:r w:rsidR="00783CA3">
              <w:br/>
            </w:r>
          </w:p>
          <w:p w:rsidR="007C0A7E" w:rsidRDefault="00873647">
            <w:pPr>
              <w:rPr>
                <w:b/>
              </w:rPr>
            </w:pPr>
            <w:r>
              <w:rPr>
                <w:b/>
              </w:rPr>
              <w:t>Attentes du curriculum:</w:t>
            </w:r>
          </w:p>
          <w:p w:rsidR="00783CA3" w:rsidRPr="00E96A30" w:rsidRDefault="00E96A30" w:rsidP="008F2DF9">
            <w:r w:rsidRPr="00E96A30">
              <w:t xml:space="preserve">A3. Comprendre le contexte: </w:t>
            </w:r>
            <w:r w:rsidR="009561E3">
              <w:t xml:space="preserve">les </w:t>
            </w:r>
            <w:r w:rsidRPr="00E96A30">
              <w:t>caractéristiques des sociétés anciennes</w:t>
            </w:r>
          </w:p>
          <w:p w:rsidR="00E96A30" w:rsidRDefault="00E96A30" w:rsidP="008F2DF9">
            <w:pPr>
              <w:rPr>
                <w:b/>
              </w:rPr>
            </w:pPr>
          </w:p>
          <w:p w:rsidR="00E96A30" w:rsidRDefault="00E96A30" w:rsidP="00E96A30">
            <w:pPr>
              <w:rPr>
                <w:b/>
              </w:rPr>
            </w:pPr>
            <w:r>
              <w:rPr>
                <w:b/>
              </w:rPr>
              <w:t>Contenus d’apprentissages :</w:t>
            </w:r>
          </w:p>
          <w:p w:rsidR="008F2DF9" w:rsidRDefault="00E96A30" w:rsidP="008F2DF9">
            <w:r w:rsidRPr="00E96A30">
              <w:t>A3.6 identifier et décrire certains des principaux développements scientifiques et technologiques dans le monde antique et médiéval</w:t>
            </w:r>
          </w:p>
          <w:p w:rsidR="00E96A30" w:rsidRPr="00445479" w:rsidRDefault="00E96A30" w:rsidP="008F2DF9"/>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772922" w:rsidRDefault="0048351B" w:rsidP="00DF1B31">
            <w:r>
              <w:t>-</w:t>
            </w:r>
            <w:r w:rsidR="00457CED" w:rsidRPr="00457CED">
              <w:t xml:space="preserve"> utiliser divers matériaux pour créer une catapulte qui fonction</w:t>
            </w:r>
            <w:r w:rsidR="00457CED">
              <w:t>n</w:t>
            </w:r>
            <w:r w:rsidR="00457CED" w:rsidRPr="00457CED">
              <w:t xml:space="preserve">e. </w:t>
            </w:r>
          </w:p>
          <w:p w:rsidR="00DF1B31" w:rsidRDefault="00DF1B31" w:rsidP="00DF1B31">
            <w:pPr>
              <w:rPr>
                <w:b/>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772922" w:rsidRDefault="00772922" w:rsidP="00772922">
            <w:r>
              <w:t xml:space="preserve">- </w:t>
            </w:r>
            <w:r w:rsidR="00457CED" w:rsidRPr="00457CED">
              <w:t>nous pouvons lancer une guimauve de la catapulte.</w:t>
            </w:r>
          </w:p>
        </w:tc>
      </w:tr>
      <w:tr w:rsidR="007C0A7E">
        <w:tc>
          <w:tcPr>
            <w:tcW w:w="9350" w:type="dxa"/>
            <w:gridSpan w:val="2"/>
            <w:shd w:val="clear" w:color="auto" w:fill="DEEBF6"/>
          </w:tcPr>
          <w:p w:rsidR="007C0A7E" w:rsidRDefault="00873647">
            <w:pPr>
              <w:rPr>
                <w:b/>
              </w:rPr>
            </w:pPr>
            <w:r>
              <w:rPr>
                <w:b/>
              </w:rPr>
              <w:t>Aperçu de la leçon:</w:t>
            </w:r>
          </w:p>
          <w:p w:rsidR="00104D5E" w:rsidRDefault="00457CED">
            <w:r w:rsidRPr="00457CED">
              <w:t>Les élèves créeront une catapulte fonctionnelle pour lancer une guimauve. Ils/elles vont travailler en groupes de 3-4.</w:t>
            </w:r>
          </w:p>
          <w:p w:rsidR="00457CED" w:rsidRDefault="00457CED"/>
        </w:tc>
      </w:tr>
      <w:tr w:rsidR="007C0A7E">
        <w:tc>
          <w:tcPr>
            <w:tcW w:w="9350" w:type="dxa"/>
            <w:gridSpan w:val="2"/>
            <w:shd w:val="clear" w:color="auto" w:fill="DEEBF6"/>
          </w:tcPr>
          <w:p w:rsidR="007C0A7E" w:rsidRDefault="00873647">
            <w:pPr>
              <w:rPr>
                <w:b/>
              </w:rPr>
            </w:pPr>
            <w:r>
              <w:rPr>
                <w:b/>
              </w:rPr>
              <w:t xml:space="preserve">Matériaux et technologie à employer:  </w:t>
            </w:r>
          </w:p>
          <w:p w:rsidR="00A75A36" w:rsidRDefault="00A75A36" w:rsidP="00A75A36">
            <w:r>
              <w:t xml:space="preserve">- </w:t>
            </w:r>
            <w:r w:rsidR="00DF11AA">
              <w:t>des guimauves</w:t>
            </w:r>
          </w:p>
          <w:p w:rsidR="00DF11AA" w:rsidRDefault="00A75A36" w:rsidP="00DF11AA">
            <w:r>
              <w:t xml:space="preserve">- </w:t>
            </w:r>
            <w:r w:rsidR="00DF11AA">
              <w:t>les ordinateurs et / ou les iPads pour la recherche de catapultes</w:t>
            </w:r>
          </w:p>
          <w:p w:rsidR="00A75A36" w:rsidRDefault="00DF11AA" w:rsidP="00DF11AA">
            <w:r>
              <w:t xml:space="preserve">- du bois de différentes tailles, les chevilles, les bâtons de </w:t>
            </w:r>
            <w:proofErr w:type="spellStart"/>
            <w:r>
              <w:t>popsicle</w:t>
            </w:r>
            <w:proofErr w:type="spellEnd"/>
            <w:r>
              <w:t xml:space="preserve">, le papier, la colle, les élastiques, et d'autres matériaux et outils </w:t>
            </w:r>
            <w:r w:rsidR="009561E3">
              <w:t xml:space="preserve">venant </w:t>
            </w:r>
            <w:r>
              <w:t>de la maison</w:t>
            </w:r>
          </w:p>
          <w:p w:rsidR="009561E3" w:rsidRDefault="009561E3" w:rsidP="00DF11AA"/>
        </w:tc>
      </w:tr>
      <w:tr w:rsidR="007C0A7E">
        <w:tc>
          <w:tcPr>
            <w:tcW w:w="4675" w:type="dxa"/>
            <w:shd w:val="clear" w:color="auto" w:fill="DEEBF6"/>
          </w:tcPr>
          <w:p w:rsidR="007C0A7E" w:rsidRDefault="00873647">
            <w:pPr>
              <w:rPr>
                <w:b/>
              </w:rPr>
            </w:pPr>
            <w:r>
              <w:rPr>
                <w:b/>
              </w:rPr>
              <w:t xml:space="preserve">Accommodations/Modifications:  </w:t>
            </w:r>
          </w:p>
          <w:p w:rsidR="00DF11AA" w:rsidRDefault="00DF11AA" w:rsidP="00DF11AA">
            <w:r>
              <w:t>Les étudiant(e)s sont assis selon les plans IEP.</w:t>
            </w:r>
          </w:p>
          <w:p w:rsidR="00DF11AA" w:rsidRDefault="00DF11AA" w:rsidP="00DF11AA">
            <w:r>
              <w:t>Les étudiant(e)s auront accès à leurs textes et / ou ordinateurs pour faire des recherches sur les catapultes.</w:t>
            </w:r>
          </w:p>
          <w:p w:rsidR="006A4A8E" w:rsidRPr="00DF11AA" w:rsidRDefault="00DF11AA" w:rsidP="00DF11AA">
            <w:r>
              <w:t>Certains groupes seront seulement des groupes de deux.</w:t>
            </w:r>
          </w:p>
          <w:p w:rsidR="007C0A7E" w:rsidRDefault="007C0A7E" w:rsidP="00F41606">
            <w:pPr>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DF11AA">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DF11AA">
              <w:rPr>
                <w:color w:val="000000"/>
              </w:rPr>
              <w:t>C</w:t>
            </w:r>
            <w:r w:rsidR="00DF11AA" w:rsidRPr="00DF11AA">
              <w:rPr>
                <w:color w:val="000000"/>
              </w:rPr>
              <w:t>ertains étudiant</w:t>
            </w:r>
            <w:r w:rsidR="00DF11AA">
              <w:rPr>
                <w:color w:val="000000"/>
              </w:rPr>
              <w:t>(e)</w:t>
            </w:r>
            <w:r w:rsidR="00DF11AA" w:rsidRPr="00DF11AA">
              <w:rPr>
                <w:color w:val="000000"/>
              </w:rPr>
              <w:t xml:space="preserve">s peuvent utiliser les iPads à la place des </w:t>
            </w:r>
            <w:r w:rsidR="00DF11AA">
              <w:rPr>
                <w:color w:val="000000"/>
              </w:rPr>
              <w:t>textes</w:t>
            </w:r>
            <w:r w:rsidR="00DF11AA" w:rsidRPr="00DF11AA">
              <w:rPr>
                <w:color w:val="000000"/>
              </w:rPr>
              <w:t>.</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6A4446">
              <w:rPr>
                <w:b/>
                <w:color w:val="000000"/>
              </w:rPr>
              <w:br/>
            </w:r>
            <w:r w:rsidR="006A4446">
              <w:rPr>
                <w:color w:val="000000"/>
              </w:rPr>
              <w:t>L</w:t>
            </w:r>
            <w:r w:rsidR="0068797F" w:rsidRPr="006A4446">
              <w:rPr>
                <w:color w:val="000000"/>
              </w:rPr>
              <w:t xml:space="preserve">es étudiant(e)s seront encouragés à apporter leur propre matériel et outils </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lastRenderedPageBreak/>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68797F" w:rsidRPr="0068797F" w:rsidRDefault="0068797F">
            <w:pPr>
              <w:rPr>
                <w:color w:val="000000"/>
              </w:rPr>
            </w:pPr>
            <w:r w:rsidRPr="0068797F">
              <w:rPr>
                <w:color w:val="000000"/>
              </w:rPr>
              <w:t>Les élèves r</w:t>
            </w:r>
            <w:r w:rsidR="006A4446">
              <w:rPr>
                <w:color w:val="000000"/>
              </w:rPr>
              <w:t xml:space="preserve">egarderont une vidéo </w:t>
            </w:r>
            <w:proofErr w:type="spellStart"/>
            <w:r w:rsidR="006A4446">
              <w:rPr>
                <w:color w:val="000000"/>
              </w:rPr>
              <w:t>Youtube</w:t>
            </w:r>
            <w:proofErr w:type="spellEnd"/>
            <w:r w:rsidR="006A4446">
              <w:rPr>
                <w:color w:val="000000"/>
              </w:rPr>
              <w:t xml:space="preserve"> au sujet d</w:t>
            </w:r>
            <w:r w:rsidRPr="0068797F">
              <w:rPr>
                <w:color w:val="000000"/>
              </w:rPr>
              <w:t>es catapultes.</w:t>
            </w:r>
          </w:p>
          <w:p w:rsidR="0068797F" w:rsidRDefault="0068797F">
            <w:pPr>
              <w:rPr>
                <w:b/>
                <w:color w:val="000000"/>
              </w:rPr>
            </w:pPr>
          </w:p>
          <w:p w:rsidR="0068797F" w:rsidRDefault="00873647">
            <w:pPr>
              <w:rPr>
                <w:b/>
                <w:color w:val="000000"/>
              </w:rPr>
            </w:pPr>
            <w:r>
              <w:rPr>
                <w:b/>
                <w:color w:val="000000"/>
              </w:rPr>
              <w:t xml:space="preserve">Quelles questions clés poseriez-vous ? </w:t>
            </w:r>
          </w:p>
          <w:p w:rsidR="0068797F" w:rsidRDefault="0068797F">
            <w:pPr>
              <w:rPr>
                <w:color w:val="000000"/>
              </w:rPr>
            </w:pPr>
            <w:r w:rsidRPr="0068797F">
              <w:rPr>
                <w:color w:val="000000"/>
              </w:rPr>
              <w:t>Quel genre de matériaux ferait une catapulte efficace?</w:t>
            </w:r>
            <w:r>
              <w:rPr>
                <w:color w:val="000000"/>
              </w:rPr>
              <w:t xml:space="preserve"> </w:t>
            </w:r>
            <w:r w:rsidRPr="0068797F">
              <w:rPr>
                <w:color w:val="000000"/>
              </w:rPr>
              <w:t>Quelle conception sera le plus efficace?</w:t>
            </w:r>
          </w:p>
          <w:p w:rsidR="0068797F" w:rsidRPr="0068797F" w:rsidRDefault="0068797F">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68797F" w:rsidRPr="0068797F" w:rsidRDefault="0068797F" w:rsidP="0068797F">
            <w:pPr>
              <w:rPr>
                <w:color w:val="000000"/>
              </w:rPr>
            </w:pPr>
            <w:r w:rsidRPr="0068797F">
              <w:rPr>
                <w:color w:val="000000"/>
              </w:rPr>
              <w:t>Les observations et les conversations au cours du processus.</w:t>
            </w:r>
          </w:p>
          <w:p w:rsidR="0068797F" w:rsidRDefault="0068797F" w:rsidP="0068797F">
            <w:pPr>
              <w:rPr>
                <w:color w:val="000000"/>
              </w:rPr>
            </w:pPr>
            <w:r w:rsidRPr="0068797F">
              <w:rPr>
                <w:color w:val="000000"/>
              </w:rPr>
              <w:t>Je serais capable de marquer ou donner une note au produit final de l'étudiant</w:t>
            </w:r>
            <w:r>
              <w:rPr>
                <w:color w:val="000000"/>
              </w:rPr>
              <w:t>(e)</w:t>
            </w:r>
            <w:r w:rsidRPr="0068797F">
              <w:rPr>
                <w:color w:val="000000"/>
              </w:rPr>
              <w:t>.</w:t>
            </w:r>
          </w:p>
          <w:p w:rsidR="0068797F" w:rsidRPr="0068797F" w:rsidRDefault="0068797F"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772922" w:rsidRDefault="0068797F" w:rsidP="0068797F">
            <w:r w:rsidRPr="0068797F">
              <w:t>Les élèves seront regroupés en fonction de la planification stratégique de l'enseignant</w:t>
            </w:r>
            <w:r>
              <w:t>(e)</w:t>
            </w:r>
            <w:r w:rsidRPr="0068797F">
              <w:t>. Les matériaux seront disponibles sur la table et les étudiant</w:t>
            </w:r>
            <w:r>
              <w:t>(e)</w:t>
            </w:r>
            <w:r w:rsidRPr="0068797F">
              <w:t>s pourront également apporter les matériaux de la maison</w:t>
            </w:r>
            <w:r>
              <w:t>.</w:t>
            </w:r>
          </w:p>
          <w:p w:rsidR="0068797F" w:rsidRPr="0068797F" w:rsidRDefault="0068797F" w:rsidP="0068797F"/>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F43A18" w:rsidRPr="00F43A18" w:rsidRDefault="00F43A18" w:rsidP="00F41606">
            <w:pPr>
              <w:rPr>
                <w:color w:val="000000"/>
              </w:rPr>
            </w:pPr>
            <w:r w:rsidRPr="00F43A18">
              <w:rPr>
                <w:color w:val="000000"/>
              </w:rPr>
              <w:t>D'abord, les étudiant</w:t>
            </w:r>
            <w:r>
              <w:rPr>
                <w:color w:val="000000"/>
              </w:rPr>
              <w:t>(e)</w:t>
            </w:r>
            <w:r w:rsidRPr="00F43A18">
              <w:rPr>
                <w:color w:val="000000"/>
              </w:rPr>
              <w:t>s feront un plan sur papier, ensuite ils</w:t>
            </w:r>
            <w:r>
              <w:rPr>
                <w:color w:val="000000"/>
              </w:rPr>
              <w:t>/elles</w:t>
            </w:r>
            <w:r w:rsidRPr="00F43A18">
              <w:rPr>
                <w:color w:val="000000"/>
              </w:rPr>
              <w:t xml:space="preserve"> suivront le plan.</w:t>
            </w:r>
          </w:p>
          <w:p w:rsidR="00F43A18" w:rsidRPr="00762118" w:rsidRDefault="00F43A18" w:rsidP="00F41606">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F43A18" w:rsidRDefault="00F602AA" w:rsidP="00950F5B">
            <w:pPr>
              <w:rPr>
                <w:color w:val="000000"/>
              </w:rPr>
            </w:pPr>
            <w:r w:rsidRPr="00F602AA">
              <w:rPr>
                <w:color w:val="000000"/>
              </w:rPr>
              <w:lastRenderedPageBreak/>
              <w:t>Je pense qu'une partie difficile sera de trouver un plan sur lequel ils</w:t>
            </w:r>
            <w:r>
              <w:rPr>
                <w:color w:val="000000"/>
              </w:rPr>
              <w:t>/elles</w:t>
            </w:r>
            <w:r w:rsidRPr="00F602AA">
              <w:rPr>
                <w:color w:val="000000"/>
              </w:rPr>
              <w:t xml:space="preserve"> peuvent tous être d'accord. Si la catapulte ne fonctionne pas la première fois, ils</w:t>
            </w:r>
            <w:r>
              <w:rPr>
                <w:color w:val="000000"/>
              </w:rPr>
              <w:t>/elles</w:t>
            </w:r>
            <w:r w:rsidRPr="00F602AA">
              <w:rPr>
                <w:color w:val="000000"/>
              </w:rPr>
              <w:t xml:space="preserve"> peuvent avoir du mal à persévérer.</w:t>
            </w:r>
          </w:p>
          <w:p w:rsidR="006A4446" w:rsidRDefault="006A4446" w:rsidP="00950F5B">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F602AA" w:rsidRPr="00F602AA" w:rsidRDefault="00F602AA">
            <w:pPr>
              <w:rPr>
                <w:color w:val="000000"/>
              </w:rPr>
            </w:pPr>
            <w:r w:rsidRPr="00F602AA">
              <w:rPr>
                <w:color w:val="000000"/>
              </w:rPr>
              <w:t>Les élèves démontreront leur compréhension en utilisant des matériaux qui auraient été disponibles au début des années 1800.</w:t>
            </w:r>
          </w:p>
          <w:p w:rsidR="00F602AA" w:rsidRDefault="00F602AA">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82689F" w:rsidRDefault="00C54BAF" w:rsidP="0082689F">
            <w:pPr>
              <w:rPr>
                <w:color w:val="000000"/>
              </w:rPr>
            </w:pPr>
            <w:r>
              <w:rPr>
                <w:color w:val="000000"/>
              </w:rPr>
              <w:t xml:space="preserve"> </w:t>
            </w:r>
            <w:r w:rsidR="0082689F" w:rsidRPr="0082689F">
              <w:rPr>
                <w:color w:val="000000"/>
              </w:rPr>
              <w:t>Je vais me promener en faisant des notes anecdotiques sur la façon dont les élèves planifient leur produit final, en aidant ou en incitant les élèves qui semblent avoir oublié des parties manquantes. En fonction de leurs résultats finaux, répondez aux questions suivantes:</w:t>
            </w:r>
          </w:p>
          <w:p w:rsidR="006A4446" w:rsidRPr="0082689F" w:rsidRDefault="006A4446" w:rsidP="0082689F">
            <w:pPr>
              <w:rPr>
                <w:color w:val="000000"/>
              </w:rPr>
            </w:pPr>
          </w:p>
          <w:p w:rsidR="0082689F" w:rsidRPr="0082689F" w:rsidRDefault="0082689F" w:rsidP="0082689F">
            <w:pPr>
              <w:rPr>
                <w:color w:val="000000"/>
              </w:rPr>
            </w:pPr>
            <w:r w:rsidRPr="0082689F">
              <w:rPr>
                <w:color w:val="000000"/>
              </w:rPr>
              <w:t>Les élèves ont-ils</w:t>
            </w:r>
            <w:r w:rsidR="006A4446">
              <w:rPr>
                <w:color w:val="000000"/>
              </w:rPr>
              <w:t>/elles</w:t>
            </w:r>
            <w:r w:rsidRPr="0082689F">
              <w:rPr>
                <w:color w:val="000000"/>
              </w:rPr>
              <w:t xml:space="preserve"> pu suivre leur plan?</w:t>
            </w:r>
          </w:p>
          <w:p w:rsidR="0082689F" w:rsidRPr="0082689F" w:rsidRDefault="0082689F" w:rsidP="0082689F">
            <w:pPr>
              <w:rPr>
                <w:color w:val="000000"/>
              </w:rPr>
            </w:pPr>
            <w:r w:rsidRPr="0082689F">
              <w:rPr>
                <w:color w:val="000000"/>
              </w:rPr>
              <w:t>Les élèves ont-ils</w:t>
            </w:r>
            <w:r w:rsidR="006A4446">
              <w:rPr>
                <w:color w:val="000000"/>
              </w:rPr>
              <w:t>/elles</w:t>
            </w:r>
            <w:r w:rsidRPr="0082689F">
              <w:rPr>
                <w:color w:val="000000"/>
              </w:rPr>
              <w:t xml:space="preserve"> utilisé des matériaux de leur environnement?</w:t>
            </w:r>
          </w:p>
          <w:p w:rsidR="00B87A9E" w:rsidRDefault="0082689F" w:rsidP="0082689F">
            <w:pPr>
              <w:rPr>
                <w:color w:val="000000"/>
              </w:rPr>
            </w:pPr>
            <w:r w:rsidRPr="0082689F">
              <w:rPr>
                <w:color w:val="000000"/>
              </w:rPr>
              <w:t>Est-ce que leur catapulte fonctionne</w:t>
            </w:r>
            <w:r w:rsidR="006A4446">
              <w:rPr>
                <w:color w:val="000000"/>
              </w:rPr>
              <w:t>?</w:t>
            </w:r>
            <w:r w:rsidR="006A4446">
              <w:rPr>
                <w:color w:val="000000"/>
              </w:rPr>
              <w:br/>
              <w:t>L</w:t>
            </w:r>
            <w:r w:rsidRPr="0082689F">
              <w:rPr>
                <w:color w:val="000000"/>
              </w:rPr>
              <w:t>es étudiant</w:t>
            </w:r>
            <w:r>
              <w:rPr>
                <w:color w:val="000000"/>
              </w:rPr>
              <w:t>(e)</w:t>
            </w:r>
            <w:r w:rsidRPr="0082689F">
              <w:rPr>
                <w:color w:val="000000"/>
              </w:rPr>
              <w:t>s peuvent-ils</w:t>
            </w:r>
            <w:r w:rsidR="006A4446">
              <w:rPr>
                <w:color w:val="000000"/>
              </w:rPr>
              <w:t>/elles</w:t>
            </w:r>
            <w:r w:rsidRPr="0082689F">
              <w:rPr>
                <w:color w:val="000000"/>
              </w:rPr>
              <w:t xml:space="preserve"> le modifier pour le rendre meilleur?</w:t>
            </w:r>
          </w:p>
          <w:p w:rsidR="0082689F" w:rsidRDefault="0082689F" w:rsidP="0082689F">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82689F" w:rsidRPr="0082689F" w:rsidRDefault="0082689F" w:rsidP="0082689F">
            <w:pPr>
              <w:rPr>
                <w:color w:val="000000"/>
              </w:rPr>
            </w:pPr>
            <w:r w:rsidRPr="0082689F">
              <w:rPr>
                <w:color w:val="000000"/>
              </w:rPr>
              <w:t>Tenez un concours pour voir qui peut lancer leur guimauve le plus loin.</w:t>
            </w:r>
          </w:p>
          <w:p w:rsidR="0082689F" w:rsidRPr="0082689F" w:rsidRDefault="0082689F" w:rsidP="0082689F">
            <w:pPr>
              <w:rPr>
                <w:color w:val="000000"/>
              </w:rPr>
            </w:pPr>
            <w:r w:rsidRPr="0082689F">
              <w:rPr>
                <w:color w:val="000000"/>
              </w:rPr>
              <w:t xml:space="preserve">Les élèves pourraient écrire </w:t>
            </w:r>
            <w:r>
              <w:rPr>
                <w:color w:val="000000"/>
              </w:rPr>
              <w:t>une marche à suivre de</w:t>
            </w:r>
            <w:r w:rsidRPr="0082689F">
              <w:rPr>
                <w:color w:val="000000"/>
              </w:rPr>
              <w:t xml:space="preserve"> comment lancer leur catapulte.</w:t>
            </w:r>
          </w:p>
          <w:p w:rsidR="00F43A18" w:rsidRDefault="0082689F" w:rsidP="0082689F">
            <w:pPr>
              <w:rPr>
                <w:color w:val="000000"/>
              </w:rPr>
            </w:pPr>
            <w:r w:rsidRPr="0082689F">
              <w:rPr>
                <w:color w:val="000000"/>
              </w:rPr>
              <w:t>Les élèves pourraient discuter de ce qui a fonctionné et de ce qui n'a pas fonctionné (modification: les élèves pourraient créer une vidéo)</w:t>
            </w:r>
            <w:r>
              <w:rPr>
                <w:color w:val="000000"/>
              </w:rPr>
              <w:t>.</w:t>
            </w:r>
            <w:bookmarkStart w:id="1" w:name="_GoBack"/>
            <w:bookmarkEnd w:id="1"/>
          </w:p>
          <w:p w:rsidR="00F43A18" w:rsidRDefault="00F43A18" w:rsidP="00F43A18">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82689F" w:rsidRDefault="0082689F">
            <w:pPr>
              <w:pBdr>
                <w:top w:val="nil"/>
                <w:left w:val="nil"/>
                <w:bottom w:val="nil"/>
                <w:right w:val="nil"/>
                <w:between w:val="nil"/>
              </w:pBdr>
              <w:spacing w:before="120"/>
              <w:rPr>
                <w:b/>
                <w:color w:val="000000"/>
              </w:rPr>
            </w:pPr>
            <w:r w:rsidRPr="0082689F">
              <w:rPr>
                <w:color w:val="000000"/>
              </w:rPr>
              <w:t>Je voudrais mettre toutes leurs catapultes dans une vitrine, pour démontrer que nous sommes tous des créateurs. Je vais également donner à plusieurs étudiants l'occasion de partager leurs réflexions sur la façon dont ils</w:t>
            </w:r>
            <w:r>
              <w:rPr>
                <w:color w:val="000000"/>
              </w:rPr>
              <w:t>/elles</w:t>
            </w:r>
            <w:r w:rsidRPr="0082689F">
              <w:rPr>
                <w:color w:val="000000"/>
              </w:rPr>
              <w:t xml:space="preserve"> ont planifié.</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82689F" w:rsidRPr="0082689F" w:rsidRDefault="0082689F" w:rsidP="0082689F">
            <w:pPr>
              <w:pBdr>
                <w:top w:val="nil"/>
                <w:left w:val="nil"/>
                <w:bottom w:val="nil"/>
                <w:right w:val="nil"/>
                <w:between w:val="nil"/>
              </w:pBdr>
              <w:spacing w:before="120"/>
              <w:rPr>
                <w:color w:val="000000"/>
              </w:rPr>
            </w:pPr>
            <w:r w:rsidRPr="0082689F">
              <w:rPr>
                <w:color w:val="000000"/>
              </w:rPr>
              <w:t>Pensez-vous que les matériaux ont eu un effet sur la distance que la guimauve a été lancée?</w:t>
            </w:r>
          </w:p>
          <w:p w:rsidR="0082689F" w:rsidRPr="0082689F" w:rsidRDefault="0082689F" w:rsidP="0082689F">
            <w:pPr>
              <w:pBdr>
                <w:top w:val="nil"/>
                <w:left w:val="nil"/>
                <w:bottom w:val="nil"/>
                <w:right w:val="nil"/>
                <w:between w:val="nil"/>
              </w:pBdr>
              <w:spacing w:before="120"/>
              <w:rPr>
                <w:color w:val="000000"/>
              </w:rPr>
            </w:pPr>
            <w:r w:rsidRPr="0082689F">
              <w:rPr>
                <w:color w:val="000000"/>
              </w:rPr>
              <w:lastRenderedPageBreak/>
              <w:t xml:space="preserve">Y </w:t>
            </w:r>
            <w:proofErr w:type="spellStart"/>
            <w:r w:rsidRPr="0082689F">
              <w:rPr>
                <w:color w:val="000000"/>
              </w:rPr>
              <w:t>a-t-il</w:t>
            </w:r>
            <w:proofErr w:type="spellEnd"/>
            <w:r w:rsidRPr="0082689F">
              <w:rPr>
                <w:color w:val="000000"/>
              </w:rPr>
              <w:t xml:space="preserve"> quelque chose que vous auriez pu faire pour l'améliorer?</w:t>
            </w:r>
          </w:p>
          <w:p w:rsidR="00D10514" w:rsidRDefault="0082689F" w:rsidP="0082689F">
            <w:pPr>
              <w:pBdr>
                <w:top w:val="nil"/>
                <w:left w:val="nil"/>
                <w:bottom w:val="nil"/>
                <w:right w:val="nil"/>
                <w:between w:val="nil"/>
              </w:pBdr>
              <w:spacing w:before="120"/>
              <w:rPr>
                <w:color w:val="000000"/>
              </w:rPr>
            </w:pPr>
            <w:r w:rsidRPr="0082689F">
              <w:rPr>
                <w:color w:val="000000"/>
              </w:rPr>
              <w:t>Comment la communication a-t-elle joué un rôle dans votre travail d'équipe?</w:t>
            </w:r>
          </w:p>
          <w:p w:rsidR="0082689F" w:rsidRPr="00E80D27" w:rsidRDefault="0082689F" w:rsidP="0082689F">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849" w:rsidRDefault="00F11849">
      <w:pPr>
        <w:spacing w:after="0" w:line="240" w:lineRule="auto"/>
      </w:pPr>
      <w:r>
        <w:separator/>
      </w:r>
    </w:p>
  </w:endnote>
  <w:endnote w:type="continuationSeparator" w:id="0">
    <w:p w:rsidR="00F11849" w:rsidRDefault="00F1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849" w:rsidRDefault="00F11849">
      <w:pPr>
        <w:spacing w:after="0" w:line="240" w:lineRule="auto"/>
      </w:pPr>
      <w:r>
        <w:separator/>
      </w:r>
    </w:p>
  </w:footnote>
  <w:footnote w:type="continuationSeparator" w:id="0">
    <w:p w:rsidR="00F11849" w:rsidRDefault="00F1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A4446">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54CEB"/>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5386A"/>
    <w:rsid w:val="00285E3E"/>
    <w:rsid w:val="002D29CC"/>
    <w:rsid w:val="003310E4"/>
    <w:rsid w:val="00333E21"/>
    <w:rsid w:val="00342225"/>
    <w:rsid w:val="003524F8"/>
    <w:rsid w:val="003841A1"/>
    <w:rsid w:val="0039617A"/>
    <w:rsid w:val="003A460D"/>
    <w:rsid w:val="003C13D2"/>
    <w:rsid w:val="003C5F5E"/>
    <w:rsid w:val="003F1D69"/>
    <w:rsid w:val="003F4AC7"/>
    <w:rsid w:val="00401269"/>
    <w:rsid w:val="00445479"/>
    <w:rsid w:val="0044636D"/>
    <w:rsid w:val="004506FF"/>
    <w:rsid w:val="00457CED"/>
    <w:rsid w:val="00461220"/>
    <w:rsid w:val="0048351B"/>
    <w:rsid w:val="00495845"/>
    <w:rsid w:val="004D7CCF"/>
    <w:rsid w:val="004E6D04"/>
    <w:rsid w:val="005230B9"/>
    <w:rsid w:val="00546EA0"/>
    <w:rsid w:val="00555BEC"/>
    <w:rsid w:val="005A384F"/>
    <w:rsid w:val="005B5E49"/>
    <w:rsid w:val="005C6584"/>
    <w:rsid w:val="005F08AD"/>
    <w:rsid w:val="005F27A3"/>
    <w:rsid w:val="006077AC"/>
    <w:rsid w:val="0063043B"/>
    <w:rsid w:val="0068797F"/>
    <w:rsid w:val="0069003D"/>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C0A7E"/>
    <w:rsid w:val="007C1C0A"/>
    <w:rsid w:val="007F5987"/>
    <w:rsid w:val="007F6262"/>
    <w:rsid w:val="00810D80"/>
    <w:rsid w:val="00820BB6"/>
    <w:rsid w:val="0082689F"/>
    <w:rsid w:val="0083492B"/>
    <w:rsid w:val="008567A7"/>
    <w:rsid w:val="00873647"/>
    <w:rsid w:val="00883750"/>
    <w:rsid w:val="008A1397"/>
    <w:rsid w:val="008B0A20"/>
    <w:rsid w:val="008C187F"/>
    <w:rsid w:val="008D5D8A"/>
    <w:rsid w:val="008E16BF"/>
    <w:rsid w:val="008F2DF9"/>
    <w:rsid w:val="00933548"/>
    <w:rsid w:val="00935FCF"/>
    <w:rsid w:val="009469DE"/>
    <w:rsid w:val="00950F5B"/>
    <w:rsid w:val="009561E3"/>
    <w:rsid w:val="009641E7"/>
    <w:rsid w:val="0097216F"/>
    <w:rsid w:val="009845D5"/>
    <w:rsid w:val="00995F66"/>
    <w:rsid w:val="009A5B7F"/>
    <w:rsid w:val="00A12DFD"/>
    <w:rsid w:val="00A15533"/>
    <w:rsid w:val="00A17B3F"/>
    <w:rsid w:val="00A27C3A"/>
    <w:rsid w:val="00A5096B"/>
    <w:rsid w:val="00A574A9"/>
    <w:rsid w:val="00A6494E"/>
    <w:rsid w:val="00A75A36"/>
    <w:rsid w:val="00A94578"/>
    <w:rsid w:val="00AB4A6C"/>
    <w:rsid w:val="00AC11BB"/>
    <w:rsid w:val="00AD73D8"/>
    <w:rsid w:val="00B126C0"/>
    <w:rsid w:val="00B224A5"/>
    <w:rsid w:val="00B629E0"/>
    <w:rsid w:val="00B74467"/>
    <w:rsid w:val="00B87A9E"/>
    <w:rsid w:val="00BA429D"/>
    <w:rsid w:val="00BB29CA"/>
    <w:rsid w:val="00BE6A73"/>
    <w:rsid w:val="00C0482D"/>
    <w:rsid w:val="00C07ED6"/>
    <w:rsid w:val="00C16851"/>
    <w:rsid w:val="00C26805"/>
    <w:rsid w:val="00C54BAF"/>
    <w:rsid w:val="00C94A59"/>
    <w:rsid w:val="00CA0706"/>
    <w:rsid w:val="00CB679B"/>
    <w:rsid w:val="00CC2DBD"/>
    <w:rsid w:val="00D10514"/>
    <w:rsid w:val="00D11147"/>
    <w:rsid w:val="00D4709C"/>
    <w:rsid w:val="00D54C59"/>
    <w:rsid w:val="00D62BEB"/>
    <w:rsid w:val="00DA630F"/>
    <w:rsid w:val="00DF11AA"/>
    <w:rsid w:val="00DF1B31"/>
    <w:rsid w:val="00E80D27"/>
    <w:rsid w:val="00E82AFD"/>
    <w:rsid w:val="00E91518"/>
    <w:rsid w:val="00E93126"/>
    <w:rsid w:val="00E96A30"/>
    <w:rsid w:val="00EB5045"/>
    <w:rsid w:val="00EC50B3"/>
    <w:rsid w:val="00EE3322"/>
    <w:rsid w:val="00F06B51"/>
    <w:rsid w:val="00F11849"/>
    <w:rsid w:val="00F143C1"/>
    <w:rsid w:val="00F41606"/>
    <w:rsid w:val="00F43A18"/>
    <w:rsid w:val="00F602AA"/>
    <w:rsid w:val="00F77657"/>
    <w:rsid w:val="00F8739F"/>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7</cp:revision>
  <dcterms:created xsi:type="dcterms:W3CDTF">2018-06-29T14:08:00Z</dcterms:created>
  <dcterms:modified xsi:type="dcterms:W3CDTF">2018-06-29T14:39:00Z</dcterms:modified>
</cp:coreProperties>
</file>